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98" w:rsidRPr="00890498" w:rsidRDefault="00890498" w:rsidP="008904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fa-IR"/>
        </w:rPr>
      </w:pPr>
      <w:r w:rsidRPr="008904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fa-IR"/>
        </w:rPr>
        <w:t>Effect of 30% copper alloying on electro-catalytic activity of nickel for ethanol oxidation in alkaline media</w:t>
      </w:r>
    </w:p>
    <w:p w:rsidR="00BD4CF0" w:rsidRPr="00890498" w:rsidRDefault="00BD4CF0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</w:p>
    <w:p w:rsidR="00EC1A3E" w:rsidRPr="00890498" w:rsidRDefault="00EC1A3E" w:rsidP="00397B2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</w:pP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Niloufar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Bahrami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Panah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,</w:t>
      </w:r>
      <w:r w:rsidR="00397B29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1,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*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Iman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Danaee,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2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Mahmood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Payehghadr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1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and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Afro</w:t>
      </w:r>
      <w:r w:rsidR="0055412C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o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z</w:t>
      </w:r>
      <w:proofErr w:type="spellEnd"/>
      <w:r w:rsidR="0055412C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Ma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dahi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1</w:t>
      </w:r>
    </w:p>
    <w:p w:rsidR="00505A7A" w:rsidRPr="00890498" w:rsidRDefault="00505A7A" w:rsidP="001949D9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</w:p>
    <w:p w:rsidR="00BD4CF0" w:rsidRPr="00890498" w:rsidRDefault="00BD4CF0" w:rsidP="001949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fa-IR"/>
        </w:rPr>
      </w:pPr>
    </w:p>
    <w:p w:rsidR="00EC1A3E" w:rsidRPr="00890498" w:rsidRDefault="00EC1A3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fa-IR"/>
        </w:rPr>
        <w:t>Abstract</w:t>
      </w:r>
    </w:p>
    <w:p w:rsidR="000134F2" w:rsidRPr="00890498" w:rsidRDefault="000134F2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In this </w:t>
      </w:r>
      <w:r w:rsidR="00E9492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research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, </w:t>
      </w:r>
      <w:r w:rsidR="00D26C6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nickel-copper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(70/30)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alloy was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investigated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for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its possible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redox process and electro</w:t>
      </w:r>
      <w:r w:rsidR="00E5695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-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catalytic activit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y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towards oxidation </w:t>
      </w:r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of ethanol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,</w:t>
      </w:r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in alkaline solution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.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For this purpose, </w:t>
      </w:r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cyclic </w:t>
      </w:r>
      <w:proofErr w:type="spellStart"/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voltammetery</w:t>
      </w:r>
      <w:proofErr w:type="spellEnd"/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, </w:t>
      </w:r>
      <w:proofErr w:type="spellStart"/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chronoamperometry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and impedance spectroscopy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were employed.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According to the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cyclic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voltammetery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studies,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NiCu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alloy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can demonstrate a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significantly higher resp</w:t>
      </w:r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onse for ethanol oxidation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, compared to </w:t>
      </w:r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pure n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i</w:t>
      </w:r>
      <w:r w:rsidR="00990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ckel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.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So that, enhancement of</w:t>
      </w:r>
      <w:r w:rsidR="00EC1A3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t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he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anodic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peak current </w:t>
      </w:r>
      <w:r w:rsidR="004E219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corresponding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to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oxidat</w:t>
      </w:r>
      <w:r w:rsidR="00EC1A3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ion of nickel hydroxide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was 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accompanied with attenuated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cathodic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current</w:t>
      </w:r>
      <w:r w:rsidR="009508A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,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in </w:t>
      </w:r>
      <w:r w:rsidR="00EC1A3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the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presence of ethanol. The anodic peak currents </w:t>
      </w:r>
      <w:r w:rsidR="004E219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depended on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square root of scan rate</w:t>
      </w:r>
      <w:r w:rsidR="004E219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s, linearly, which is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characteristic of diffusion controlled process</w:t>
      </w:r>
      <w:r w:rsidR="004E219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es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. </w:t>
      </w:r>
      <w:r w:rsidR="00AA0C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Based on the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chronoamperom</w:t>
      </w:r>
      <w:r w:rsidR="00EC1A3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try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AA0C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measurements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, the reaction 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exhibited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Cottrellian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behavior and 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th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e coefficient of ethanol 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diffusion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was found to be 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1.26×10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-5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cm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.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Further, i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mpedance spectroscopy 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declared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electro-catalytic behavior of </w:t>
      </w:r>
      <w:proofErr w:type="spellStart"/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NiCu</w:t>
      </w:r>
      <w:proofErr w:type="spellEnd"/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electrode for oxidation of ethanol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and showed that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charge transfer resistance 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will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decrease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if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ethanol concentration</w:t>
      </w:r>
      <w:r w:rsidR="00AC43B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be increased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.</w:t>
      </w:r>
    </w:p>
    <w:p w:rsidR="0078340B" w:rsidRPr="00890498" w:rsidRDefault="00F50E75" w:rsidP="000C36A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Keyw</w:t>
      </w:r>
      <w:r w:rsidR="00C323BE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ords: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-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catalytic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Activity</w:t>
      </w:r>
      <w:r w:rsidR="00390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;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07D0D">
        <w:rPr>
          <w:rFonts w:ascii="Times New Roman" w:hAnsi="Times New Roman" w:cs="Times New Roman"/>
          <w:color w:val="000000"/>
          <w:sz w:val="24"/>
          <w:szCs w:val="24"/>
          <w:lang w:bidi="fa-IR"/>
        </w:rPr>
        <w:t>N</w:t>
      </w:r>
      <w:r w:rsidR="00B07D0D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ickel</w:t>
      </w:r>
      <w:r w:rsidR="00D26C6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-copper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Alloy</w:t>
      </w:r>
      <w:r w:rsidR="00390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;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Ethanol</w:t>
      </w:r>
      <w:r w:rsidR="00390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;</w:t>
      </w:r>
      <w:r w:rsidR="00ED09A6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Impedance</w:t>
      </w:r>
      <w:r w:rsidR="00241C9C">
        <w:rPr>
          <w:rFonts w:ascii="Times New Roman" w:hAnsi="Times New Roman" w:cs="Times New Roman"/>
          <w:color w:val="000000"/>
          <w:sz w:val="24"/>
          <w:szCs w:val="24"/>
          <w:lang w:bidi="fa-IR"/>
        </w:rPr>
        <w:t>.</w:t>
      </w:r>
    </w:p>
    <w:p w:rsidR="001A4780" w:rsidRPr="00890498" w:rsidRDefault="00EC1A3E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="00F50E75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="001A4780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Introduction</w:t>
      </w:r>
    </w:p>
    <w:p w:rsidR="001A4780" w:rsidRPr="002D6D8C" w:rsidRDefault="00A9766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F762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Recently, 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direct ethanol fuel cell</w:t>
      </w:r>
      <w:r w:rsidR="00CF762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(DE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FC</w:t>
      </w:r>
      <w:r w:rsidR="00CF762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) ha</w:t>
      </w:r>
      <w:r w:rsidR="00CF762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CF762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attracted </w:t>
      </w:r>
      <w:r w:rsidR="00833CD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much interest 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for different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applications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1,2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012EC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reason is that</w:t>
      </w:r>
      <w:r w:rsidR="002F07F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they</w:t>
      </w:r>
      <w:r w:rsidR="0079308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can provide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9308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convenient 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operation,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storage and distribution.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However, </w:t>
      </w:r>
      <w:r w:rsidR="00702A7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DEFCs </w:t>
      </w:r>
      <w:r w:rsidR="006877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require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further develop</w:t>
      </w:r>
      <w:r w:rsidR="006877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ment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compared to hydrogen based fuel cells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</w:t>
      </w:r>
      <w:r w:rsidR="002F07F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as o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ne of the </w:t>
      </w:r>
      <w:r w:rsidR="009D086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unresolved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problems </w:t>
      </w:r>
      <w:r w:rsidR="009D086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DEFCs 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slow </w:t>
      </w:r>
      <w:r w:rsidR="009D086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rate 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 oxidation.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4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048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this respect, c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onsiderable </w:t>
      </w:r>
      <w:r w:rsidR="00D048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researches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have been </w:t>
      </w:r>
      <w:r w:rsidR="00D048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devoted to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study</w:t>
      </w:r>
      <w:r w:rsidR="00D048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ing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 electro-oxidation at high pH</w:t>
      </w:r>
      <w:r w:rsidR="00D048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values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DD19D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6726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Utilizing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alkaline solutions has many advantages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in fuel cells. For example, alkalinity can enhance fuel cell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efficiency, 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reduce 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corrosion, 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enable application of many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materials, 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promote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efficiency 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 the processes taking place at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both </w:t>
      </w:r>
      <w:r w:rsidR="002F07F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anod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cathod</w:t>
      </w:r>
      <w:r w:rsidR="004B7BB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FC33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eliminate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sensitivity to the surface structure and </w:t>
      </w:r>
      <w:r w:rsidR="00FC33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decrease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poisoning effects.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5-8</w:t>
      </w:r>
    </w:p>
    <w:p w:rsidR="001A4780" w:rsidRPr="002D6D8C" w:rsidRDefault="00B1617C" w:rsidP="00DC3AE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F826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electrochemical oxidation of ethanol, s</w:t>
      </w:r>
      <w:r w:rsidR="002568A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election of an appropriate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material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for</w:t>
      </w:r>
      <w:r w:rsidR="002568A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anode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</w:t>
      </w:r>
      <w:r w:rsidR="002568A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very crucial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2568A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if </w:t>
      </w:r>
      <w:r w:rsidR="00F826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high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efficien</w:t>
      </w:r>
      <w:r w:rsidR="00F826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cy of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F826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</w:t>
      </w:r>
      <w:r w:rsidR="00E5695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catalyst is</w:t>
      </w:r>
      <w:r w:rsidR="00773AD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F826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concerned</w:t>
      </w:r>
      <w:r w:rsidR="00773AD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Some studies have reported significant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increase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fuel utilization and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power density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through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optimizing different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factors related to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fuel cells.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9,10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2F07F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electrode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different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materials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have been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employed to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cataly</w:t>
      </w:r>
      <w:r w:rsidR="00E87DF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ze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electrochemical oxidation of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ethanol.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11,12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E747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One of the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well</w:t>
      </w:r>
      <w:r w:rsidR="007E747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established </w:t>
      </w:r>
      <w:r w:rsidR="007E747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electrode materials is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nickel</w:t>
      </w:r>
      <w:r w:rsidR="007E747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which </w:t>
      </w:r>
      <w:r w:rsidR="00EA16D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poses proper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surface oxidation properties. Ni</w:t>
      </w:r>
      <w:r w:rsidR="001B58A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ckel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B58A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nickel </w:t>
      </w:r>
      <w:r w:rsidR="00DF217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complexes </w:t>
      </w:r>
      <w:r w:rsidR="0089049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have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been </w:t>
      </w:r>
      <w:r w:rsidR="00DF217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commonly</w:t>
      </w:r>
      <w:r w:rsidR="00DF217D" w:rsidRPr="002D6D8C" w:rsidDel="00DF217D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F217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applied to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</w:t>
      </w:r>
      <w:r w:rsidR="00E5695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catalys</w:t>
      </w:r>
      <w:r w:rsidR="00DF217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 to proceed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both anodic and </w:t>
      </w:r>
      <w:proofErr w:type="spellStart"/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reactions in </w:t>
      </w:r>
      <w:r w:rsidR="00DF217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water electrolysis and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organic synthesis.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13-17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One of the </w:t>
      </w:r>
      <w:r w:rsidR="00567A2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remarkable applications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nickel is </w:t>
      </w:r>
      <w:r w:rsidR="00567A2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catalysis of</w:t>
      </w:r>
      <w:r w:rsidR="00C421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225A7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</w:t>
      </w:r>
      <w:r w:rsidR="00567A2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oxidation</w:t>
      </w:r>
      <w:r w:rsidR="00C421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Several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studies </w:t>
      </w:r>
      <w:r w:rsidR="004D11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regarding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electro-oxidation of alcohols </w:t>
      </w:r>
      <w:r w:rsidR="004D11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by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Ni have been reported</w:t>
      </w:r>
      <w:r w:rsidR="004D11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e.g. </w:t>
      </w:r>
      <w:r w:rsidR="002F07F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Refs. </w:t>
      </w:r>
      <w:r w:rsidR="00DC3A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18-20</w:t>
      </w:r>
      <w:r w:rsidR="004D11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1A4780" w:rsidRPr="002D6D8C" w:rsidRDefault="00492D04" w:rsidP="00CE5F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To benefit from properties of the other metals in electrodes</w:t>
      </w:r>
      <w:r w:rsidR="001877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along with Ni,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anticipate a synergistic electro-catalytic system, </w:t>
      </w:r>
      <w:r w:rsidR="0097123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nickel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alloy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 specifically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nickel copper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can be employed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CE5FB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21-23</w:t>
      </w:r>
      <w:r w:rsidR="00CE5FB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addition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alloy electrodes 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offer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urther advantages, such as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long-term stability</w:t>
      </w:r>
      <w:r w:rsidR="00906844" w:rsidRPr="002D6D8C" w:rsidDel="0090684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and ease of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preparation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9068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compared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with other electro</w:t>
      </w:r>
      <w:r w:rsidR="006265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catalyst electrodes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1877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positive point about nickel-</w:t>
      </w:r>
      <w:r w:rsidR="00C3359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copper alloys is that the crystal structures of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pure Ni and Cu metals </w:t>
      </w:r>
      <w:r w:rsidR="001877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are</w:t>
      </w:r>
      <w:r w:rsidR="00C3359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similar, i.e. </w:t>
      </w:r>
      <w:r w:rsidR="001877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they possess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face</w:t>
      </w:r>
      <w:r w:rsidR="00993C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centered cubic structure</w:t>
      </w:r>
      <w:r w:rsidR="001877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with similar lattice paramete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rs</w:t>
      </w:r>
      <w:r w:rsidR="00DA04C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Therefore, it is possible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</w:t>
      </w:r>
      <w:r w:rsidR="00DA04C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make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 wide range of </w:t>
      </w:r>
      <w:proofErr w:type="spellStart"/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alloy</w:t>
      </w:r>
      <w:r w:rsidR="00DA04C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compositions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CE5FB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24-27</w:t>
      </w:r>
    </w:p>
    <w:p w:rsidR="004943AE" w:rsidRPr="002D6D8C" w:rsidRDefault="00492D04" w:rsidP="000C36A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present work </w:t>
      </w:r>
      <w:r w:rsidR="00DF40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aims 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study 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electroc</w:t>
      </w:r>
      <w:r w:rsidR="00792D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hemical oxidation of ethanol on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792D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D05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alloy </w:t>
      </w:r>
      <w:r w:rsidR="00065A1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(70/30) electrode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a</w:t>
      </w:r>
      <w:r w:rsidR="00DF40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 alkaline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solution of 1 M </w:t>
      </w:r>
      <w:proofErr w:type="spellStart"/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NaOH</w:t>
      </w:r>
      <w:proofErr w:type="spellEnd"/>
      <w:r w:rsidR="002E16C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compar</w:t>
      </w:r>
      <w:r w:rsidR="00DF40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</w:t>
      </w:r>
      <w:r w:rsidR="002E16C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its catalytic activity with </w:t>
      </w:r>
      <w:r w:rsidR="00DF40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pure </w:t>
      </w:r>
      <w:r w:rsidR="002E16C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 electrode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792D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F40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With this purpose, </w:t>
      </w:r>
      <w:r w:rsidR="00792D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electrochemical </w:t>
      </w:r>
      <w:r w:rsidR="001277A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methods of cyclic </w:t>
      </w:r>
      <w:proofErr w:type="spellStart"/>
      <w:r w:rsidR="001277A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voltammetery</w:t>
      </w:r>
      <w:proofErr w:type="spellEnd"/>
      <w:r w:rsidR="001277A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="002E16C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chronoamperometry</w:t>
      </w:r>
      <w:proofErr w:type="spellEnd"/>
      <w:r w:rsidR="001277A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impedance spectroscopy</w:t>
      </w:r>
      <w:r w:rsidR="00792D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were</w:t>
      </w:r>
      <w:r w:rsidR="002E16C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F40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used</w:t>
      </w:r>
      <w:r w:rsidR="002E16C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CA1A8A" w:rsidRPr="002D6D8C" w:rsidRDefault="00CA1A8A" w:rsidP="001949D9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CA1A8A" w:rsidRPr="002D6D8C" w:rsidRDefault="00CA1A8A" w:rsidP="001949D9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1A4780" w:rsidRPr="002D6D8C" w:rsidRDefault="00F50E75" w:rsidP="001949D9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lastRenderedPageBreak/>
        <w:t xml:space="preserve">2. </w:t>
      </w:r>
      <w:r w:rsidR="005F3AC6" w:rsidRPr="002D6D8C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>Experimental</w:t>
      </w:r>
    </w:p>
    <w:p w:rsidR="00DE614C" w:rsidRPr="002D6D8C" w:rsidRDefault="00602F89" w:rsidP="001949D9">
      <w:pPr>
        <w:tabs>
          <w:tab w:val="left" w:pos="687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3508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Analytical grade s</w:t>
      </w:r>
      <w:r w:rsidR="00917C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odium hydroxide and ethanol were </w:t>
      </w:r>
      <w:r w:rsidR="003508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purchased from</w:t>
      </w:r>
      <w:r w:rsidR="00917C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Merck and used without further purification.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Doubl</w:t>
      </w:r>
      <w:r w:rsidR="00544BB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distilled water was </w:t>
      </w:r>
      <w:r w:rsidR="00544BB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employed to 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prepare</w:t>
      </w:r>
      <w:r w:rsidR="00544BB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solutions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EB2D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e</w:t>
      </w:r>
      <w:r w:rsidR="00176CF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lectrochemical 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measurements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were 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conducted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a three-electrode cell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which was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powered by a </w:t>
      </w:r>
      <w:proofErr w:type="spellStart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Metrohm-Autolab</w:t>
      </w:r>
      <w:proofErr w:type="spellEnd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potentiostat</w:t>
      </w:r>
      <w:proofErr w:type="spellEnd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/ </w:t>
      </w:r>
      <w:proofErr w:type="spellStart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galvanostat</w:t>
      </w:r>
      <w:proofErr w:type="spellEnd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model 302</w:t>
      </w:r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</w:t>
      </w:r>
      <w:r w:rsidR="00A64E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)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69066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 1 cm</w:t>
      </w:r>
      <w:r w:rsidR="0069066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</w:t>
      </w:r>
      <w:r w:rsidR="0069066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area </w:t>
      </w:r>
      <w:r w:rsidR="00524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disk of </w:t>
      </w:r>
      <w:proofErr w:type="spellStart"/>
      <w:r w:rsidR="00176CF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50343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</w:t>
      </w:r>
      <w:r w:rsidR="00176CF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lloy</w:t>
      </w:r>
      <w:r w:rsidR="00EB2D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0343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(70/30)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was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used as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69066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working electrode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B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efore each </w:t>
      </w:r>
      <w:r w:rsidR="00524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measurement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the bare electrode was polished with </w:t>
      </w:r>
      <w:r w:rsidR="00524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1000 grit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emery paper and rinsed </w:t>
      </w:r>
      <w:r w:rsidR="00524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24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double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distilled water and acetone</w:t>
      </w:r>
      <w:r w:rsidR="00E8437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1A47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C653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c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ounter and reference electrodes were </w:t>
      </w:r>
      <w:r w:rsidR="00AC653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made of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platinum and </w:t>
      </w:r>
      <w:proofErr w:type="spellStart"/>
      <w:r w:rsidR="00C848C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KCl</w:t>
      </w:r>
      <w:proofErr w:type="spellEnd"/>
      <w:r w:rsidR="00C848C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saturated Ag/</w:t>
      </w:r>
      <w:proofErr w:type="spellStart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AgCl</w:t>
      </w:r>
      <w:proofErr w:type="spellEnd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(</w:t>
      </w:r>
      <w:proofErr w:type="spellStart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Metrohm</w:t>
      </w:r>
      <w:proofErr w:type="spellEnd"/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), respectively. All the electrochemical </w:t>
      </w:r>
      <w:r w:rsidR="00AC653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studies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were </w:t>
      </w:r>
      <w:r w:rsidR="00AC653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completed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at 22 ± 1 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°</w:t>
      </w:r>
      <w:r w:rsidR="00DE61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C.</w:t>
      </w:r>
    </w:p>
    <w:p w:rsidR="00812CD5" w:rsidRPr="002D6D8C" w:rsidRDefault="00602F89" w:rsidP="00CA1A8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1877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electrochemical impedance spectroscopy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experiments were 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carried out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the frequency range of 100 kHz to 0.01 Hz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at 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AC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open circuit potential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10 mV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amplitude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experimental impedance spectroscopy data 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were fitted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the proposed equivalent circuit 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using a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home written least square software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This software was programmed according to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916A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method of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Marquardt for optimization of functions and Macdonald weighting for the real and imaginary parts of the </w:t>
      </w:r>
      <w:r w:rsidR="00CD658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experimental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impedance</w:t>
      </w:r>
      <w:r w:rsidR="0047184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data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CF02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28,29</w:t>
      </w:r>
    </w:p>
    <w:p w:rsidR="004611AC" w:rsidRPr="002D6D8C" w:rsidRDefault="004611AC" w:rsidP="001949D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1A4780" w:rsidRPr="002D6D8C" w:rsidRDefault="00F50E75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2D6D8C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3. </w:t>
      </w:r>
      <w:r w:rsidR="001A4780" w:rsidRPr="002D6D8C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>Results and discussion</w:t>
      </w:r>
    </w:p>
    <w:p w:rsidR="00B65253" w:rsidRDefault="00602F89" w:rsidP="00D50A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1 </w:t>
      </w:r>
      <w:r w:rsidR="00396B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displays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consec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utive cyclic </w:t>
      </w:r>
      <w:proofErr w:type="spellStart"/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voltammograms</w:t>
      </w:r>
      <w:proofErr w:type="spellEnd"/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</w:t>
      </w:r>
      <w:r w:rsidR="00396B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Cu</w:t>
      </w:r>
      <w:proofErr w:type="spellEnd"/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</w:t>
      </w:r>
      <w:r w:rsidR="00396B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1 M </w:t>
      </w:r>
      <w:proofErr w:type="spellStart"/>
      <w:r w:rsidR="00396B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NaOH</w:t>
      </w:r>
      <w:proofErr w:type="spellEnd"/>
      <w:r w:rsidR="00396B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solution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recorded at </w:t>
      </w:r>
      <w:r w:rsidR="00C736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100 mV s</w:t>
      </w:r>
      <w:r w:rsidR="00C736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potential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rate</w:t>
      </w:r>
      <w:r w:rsidR="002031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396B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after 50 cycles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453E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All following peak positions are reported with respect to Ag/</w:t>
      </w:r>
      <w:proofErr w:type="spellStart"/>
      <w:r w:rsidR="00453E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AgCl</w:t>
      </w:r>
      <w:proofErr w:type="spellEnd"/>
      <w:r w:rsidR="00453E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reference electrode.</w:t>
      </w:r>
      <w:r w:rsidR="00453E23" w:rsidRPr="002D6D8C" w:rsidDel="00487717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48771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Upon the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first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a pair of redox p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eaks </w:t>
      </w:r>
      <w:r w:rsidR="0048771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was observed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 463 and 295 mV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which are </w:t>
      </w:r>
      <w:r w:rsidR="0048771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attributed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r w:rsidR="0048771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2+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/Ni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3+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redox couple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In the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subsequent</w:t>
      </w:r>
      <w:r w:rsidR="00453E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cycles, the peaks shift </w:t>
      </w:r>
      <w:r w:rsidR="002031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negative direction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stabilize at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378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3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10 mV,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respectively. The </w:t>
      </w:r>
      <w:r w:rsidR="0051319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observed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beha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vior is </w:t>
      </w:r>
      <w:r w:rsidR="0051319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consistent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with the data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reported in 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previous electrochemical studies related to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formation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and inter</w:t>
      </w:r>
      <w:r w:rsidR="00C8239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conversion of </w:t>
      </w:r>
      <w:r w:rsidR="002031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α-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Ni(OH)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 xml:space="preserve">2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and ß-phases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conversion 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 Ni(OH)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 xml:space="preserve">2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proofErr w:type="spellStart"/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NiOOH</w:t>
      </w:r>
      <w:proofErr w:type="spellEnd"/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enri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chment of Ni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3+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species 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around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surface</w:t>
      </w:r>
      <w:r w:rsidR="002577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the electrode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CF02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30,31</w:t>
      </w:r>
      <w:r w:rsidR="00CF02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During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next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cycles,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negative shift of the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peaks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their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stabiliz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ation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are evident, which refer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highe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 </w:t>
      </w:r>
      <w:r w:rsidR="0061409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potential 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energies required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</w:t>
      </w:r>
      <w:proofErr w:type="spellStart"/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NiOOH</w:t>
      </w:r>
      <w:proofErr w:type="spellEnd"/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nucleation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the first cycle. </w:t>
      </w:r>
      <w:r w:rsidR="00D50AD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Increased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base line current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compared to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first cycle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corresponds to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oxidation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 Ni to Ni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2+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Intensification of the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urrent with the number of 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potential scan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run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 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demonstrates continuous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enrichment of 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2+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Ni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3+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electroactive</w:t>
      </w:r>
      <w:proofErr w:type="spellEnd"/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speci</w:t>
      </w:r>
      <w:r w:rsidR="00B5209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es </w:t>
      </w:r>
      <w:r w:rsidR="0046709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that are accessible by the electrode’s surface</w:t>
      </w:r>
      <w:r w:rsidR="00B6525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C56B13" w:rsidRDefault="00C56B13" w:rsidP="00D50A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B13" w:rsidRDefault="00C56B13" w:rsidP="00D50A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995930" cy="2129155"/>
            <wp:effectExtent l="0" t="0" r="0" b="4445"/>
            <wp:docPr id="1" name="Picture 1" descr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ig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93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1.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Consecutive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oxidation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composed of (1) first and (2) fiftieth cycle at a scan rate of 100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 The potential is against the Ag/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AgCl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reference electrode.</w:t>
      </w:r>
    </w:p>
    <w:p w:rsidR="004943AE" w:rsidRPr="00890498" w:rsidRDefault="004943A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597A" w:rsidRPr="00890498" w:rsidRDefault="00602F89" w:rsidP="0057554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    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ure</w:t>
      </w:r>
      <w:r w:rsidR="000649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A3612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2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a</w:t>
      </w:r>
      <w:r w:rsidR="000649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illustrates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typical CVs of a </w:t>
      </w:r>
      <w:proofErr w:type="spellStart"/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NiCu</w:t>
      </w:r>
      <w:proofErr w:type="spellEnd"/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electrode at various s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can</w:t>
      </w:r>
      <w:r w:rsidR="000649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rates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from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2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mV s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 xml:space="preserve">-1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to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2500 mV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s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-1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, in 1 M </w:t>
      </w:r>
      <w:proofErr w:type="spellStart"/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NaOH</w:t>
      </w:r>
      <w:proofErr w:type="spellEnd"/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solution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. 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ure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2b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exhibits 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dependency of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peak currents to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lower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voltammetry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scan 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rate</w:t>
      </w:r>
      <w:r w:rsidR="00A200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Based on this figure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, the peak currents increase</w:t>
      </w:r>
      <w:r w:rsidR="000649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proportional to the scan rate values 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(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2–</w:t>
      </w:r>
      <w:r w:rsidR="00BC52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200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mV s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-1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).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Such behavior should be expected for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electrochemical activity of surface redox</w:t>
      </w:r>
      <w:r w:rsidR="000649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couple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s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that their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voltammetric</w:t>
      </w:r>
      <w:proofErr w:type="spellEnd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response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s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C5180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are sensitive to small concentrations of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surface-confined </w:t>
      </w:r>
      <w:proofErr w:type="spellStart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electroactive</w:t>
      </w:r>
      <w:proofErr w:type="spellEnd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species</w: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.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32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FB13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S</w: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urface coverage of the redox species, </w:t>
      </w:r>
      <w:r w:rsidR="00FD095B" w:rsidRPr="002D6D8C">
        <w:rPr>
          <w:rFonts w:ascii="Times New Roman" w:hAnsi="Times New Roman" w:cs="Times New Roman"/>
          <w:color w:val="000000"/>
          <w:position w:val="-4"/>
          <w:sz w:val="24"/>
          <w:szCs w:val="24"/>
          <w:highlight w:val="yellow"/>
          <w:lang w:bidi="fa-IR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5pt;height:15.05pt" o:ole="">
            <v:imagedata r:id="rId10" o:title=""/>
          </v:shape>
          <o:OLEObject Type="Embed" ProgID="Equation.3" ShapeID="_x0000_i1025" DrawAspect="Content" ObjectID="_1568167400" r:id="rId11"/>
        </w:object>
      </w:r>
      <w:r w:rsidR="00FB13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, can be calculated according to</w: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the slope of the</w:t>
      </w:r>
      <w:r w:rsidR="00BC76A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lines</w: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FB13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shown in </w: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ure</w: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2b</w:t>
      </w:r>
      <w:r w:rsidR="00FB13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: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33</w:t>
      </w:r>
    </w:p>
    <w:p w:rsidR="00EF7E12" w:rsidRPr="00890498" w:rsidRDefault="00EF7E12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1780" w:dyaOrig="760">
          <v:shape id="_x0000_i1026" type="#_x0000_t75" style="width:89.2pt;height:38.15pt" o:ole="">
            <v:imagedata r:id="rId12" o:title=""/>
          </v:shape>
          <o:OLEObject Type="Embed" ProgID="Equation.DSMT4" ShapeID="_x0000_i1026" DrawAspect="Content" ObjectID="_1568167401" r:id="rId13"/>
        </w:object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>(1)</w:t>
      </w:r>
    </w:p>
    <w:p w:rsidR="00C50F4F" w:rsidRPr="00890498" w:rsidRDefault="00B23558" w:rsidP="00DC3E4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Here,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44597A" w:rsidRPr="002D6D8C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bidi="fa-IR"/>
        </w:rPr>
        <w:object w:dxaOrig="200" w:dyaOrig="220">
          <v:shape id="_x0000_i1027" type="#_x0000_t75" style="width:9.65pt;height:11.3pt" o:ole="">
            <v:imagedata r:id="rId14" o:title=""/>
          </v:shape>
          <o:OLEObject Type="Embed" ProgID="Equation.3" ShapeID="_x0000_i1027" DrawAspect="Content" ObjectID="_1568167402" r:id="rId15"/>
        </w:object>
      </w:r>
      <w:r w:rsidR="00FD095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is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the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potential scan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rate</w:t>
      </w:r>
      <w:r w:rsidR="00F56E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. The </w:t>
      </w:r>
      <w:r w:rsidR="0044597A" w:rsidRPr="002D6D8C">
        <w:rPr>
          <w:rFonts w:ascii="Times New Roman" w:hAnsi="Times New Roman" w:cs="Times New Roman"/>
          <w:color w:val="000000"/>
          <w:position w:val="-4"/>
          <w:sz w:val="24"/>
          <w:szCs w:val="24"/>
          <w:highlight w:val="yellow"/>
          <w:lang w:bidi="fa-IR"/>
        </w:rPr>
        <w:object w:dxaOrig="279" w:dyaOrig="300">
          <v:shape id="_x0000_i1028" type="#_x0000_t75" style="width:14.5pt;height:15.05pt" o:ole="">
            <v:imagedata r:id="rId16" o:title=""/>
          </v:shape>
          <o:OLEObject Type="Embed" ProgID="Equation.3" ShapeID="_x0000_i1028" DrawAspect="Content" ObjectID="_1568167403" r:id="rId17"/>
        </w:objec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value </w:t>
      </w:r>
      <w:r w:rsidR="00DC3E4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is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averaged over both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cathodic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and anodic results and </w:t>
      </w:r>
      <w:r w:rsidR="00DC3E4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is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calculated to be about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BC52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8</w:t>
      </w:r>
      <w:r w:rsidR="00414EF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.15×10</w:t>
      </w:r>
      <w:r w:rsidR="00414EF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-</w:t>
      </w:r>
      <w:r w:rsidR="00BC52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8</w:t>
      </w:r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 xml:space="preserve"> </w:t>
      </w:r>
      <w:proofErr w:type="spellStart"/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mol</w:t>
      </w:r>
      <w:proofErr w:type="spellEnd"/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cm</w:t>
      </w:r>
      <w:r w:rsidR="00414EF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-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  <w:lang w:bidi="fa-IR"/>
        </w:rPr>
        <w:t>2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, </w:t>
      </w:r>
      <w:r w:rsidR="00F56E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which</w:t>
      </w:r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is associated with 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the presence of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ca. </w:t>
      </w:r>
      <w:r w:rsidR="00BC52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8</w:t>
      </w:r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0 monolayers of surface 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species for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the</w:t>
      </w:r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alloy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.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ure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2c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presents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proportionality of peak currents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 the anode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to square root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values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higher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can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rate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(350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2500 mV</w:t>
      </w:r>
      <w:r w:rsidR="005331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).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It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outlines</w:t>
      </w:r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dominance of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a</w:t>
      </w:r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 xml:space="preserve"> diffusion </w:t>
      </w:r>
      <w:r w:rsidR="00C22FB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controlled process</w:t>
      </w:r>
      <w:r w:rsidR="00F707BE" w:rsidRPr="002D6D8C">
        <w:rPr>
          <w:highlight w:val="yellow"/>
        </w:rPr>
        <w:t xml:space="preserve"> </w:t>
      </w:r>
      <w:r w:rsidR="00F70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in higher scan rate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, at the anode</w:t>
      </w:r>
      <w:r w:rsidR="00C50F4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lang w:bidi="fa-IR"/>
        </w:rPr>
        <w:t>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21430" cy="2954655"/>
            <wp:effectExtent l="0" t="0" r="7620" b="0"/>
            <wp:docPr id="2" name="Picture 2" descr="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ig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2.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Typical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a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in different scan rates of 2–2500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 (b) the dependency of anodic peak currents to the scan rate at lower values (2–200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). (c) The proportionality of anodic peak currents to the square roots of scan rate at higher values (350–2500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6409E" w:rsidRPr="00890498" w:rsidRDefault="0006409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</w:p>
    <w:p w:rsidR="00017AE9" w:rsidRPr="00890498" w:rsidRDefault="005C7C45" w:rsidP="008C680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110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depicts </w:t>
      </w:r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cyclic </w:t>
      </w:r>
      <w:proofErr w:type="spellStart"/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voltammograms</w:t>
      </w:r>
      <w:proofErr w:type="spellEnd"/>
      <w:r w:rsidR="0046667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pure </w:t>
      </w:r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Ni and </w:t>
      </w:r>
      <w:proofErr w:type="spellStart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4459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electrode</w:t>
      </w:r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at a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rate of 10 mV</w:t>
      </w:r>
      <w:r w:rsidR="002A32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1</w:t>
      </w:r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in a solution of 1 M </w:t>
      </w:r>
      <w:proofErr w:type="spellStart"/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NaOH</w:t>
      </w:r>
      <w:proofErr w:type="spellEnd"/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0.5 M ethanol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As </w:t>
      </w:r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observed</w:t>
      </w:r>
      <w:r w:rsidR="002A32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proofErr w:type="spellStart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</w:t>
      </w:r>
      <w:r w:rsidR="004F54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provides a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higher current</w:t>
      </w:r>
      <w:r w:rsidR="002A32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density for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electro-oxidation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2A32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</w:t>
      </w:r>
      <w:proofErr w:type="spellStart"/>
      <w:r w:rsidR="002A32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NaOH</w:t>
      </w:r>
      <w:proofErr w:type="spellEnd"/>
      <w:r w:rsidR="002A32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solution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Th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reason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be related to </w:t>
      </w:r>
      <w:r w:rsidR="00017A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higher </w:t>
      </w:r>
      <w:r w:rsidR="008869F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atomic radius of Cu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compared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with Ni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which can enhance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ethanol adsorption.</w:t>
      </w:r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Furthermore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</w:t>
      </w:r>
      <w:r w:rsidR="006265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catalytic activity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Cu </w:t>
      </w:r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ethanol oxidation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high,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but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 </w:t>
      </w:r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higher anodic </w:t>
      </w:r>
      <w:proofErr w:type="spellStart"/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overpotentials</w:t>
      </w:r>
      <w:proofErr w:type="spellEnd"/>
      <w:r w:rsidR="004611A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As </w:t>
      </w:r>
      <w:r w:rsidR="00B658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it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be seen, the 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measured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oxidation potential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application of </w:t>
      </w:r>
      <w:proofErr w:type="spellStart"/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 electrode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 are the same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Consequently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Cu’s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high electro</w:t>
      </w:r>
      <w:r w:rsidR="006265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catalytic activity is </w:t>
      </w:r>
      <w:r w:rsidR="007D208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responsible for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</w:t>
      </w:r>
      <w:r w:rsidR="006265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catalytic activity of </w:t>
      </w:r>
      <w:proofErr w:type="spellStart"/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</w:t>
      </w:r>
      <w:r w:rsidR="008B467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which does not 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increas</w:t>
      </w:r>
      <w:r w:rsidR="008B467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 the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over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3C6E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potential.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0860" cy="2204085"/>
            <wp:effectExtent l="0" t="0" r="0" b="5715"/>
            <wp:docPr id="3" name="Picture 3" descr="fig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ig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Figure 3.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(1) in the absence and (2) the presence of 0.5 M of ethanol on Ni, (3)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(4) Cu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solution. Scan rate: 10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6409E" w:rsidRPr="00890498" w:rsidRDefault="0006409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56CD" w:rsidRPr="002D6D8C" w:rsidRDefault="005C7C45" w:rsidP="00343D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CE41D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4</w:t>
      </w:r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exhibits the </w:t>
      </w:r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cyclic </w:t>
      </w:r>
      <w:proofErr w:type="spellStart"/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voltammograms</w:t>
      </w:r>
      <w:proofErr w:type="spellEnd"/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proofErr w:type="spellStart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at a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rate of 10 mV</w:t>
      </w:r>
      <w:r w:rsidR="004B38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E12B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in a solution of 1 M </w:t>
      </w:r>
      <w:proofErr w:type="spellStart"/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NaOH</w:t>
      </w:r>
      <w:proofErr w:type="spellEnd"/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various concentrations of ethanol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It </w:t>
      </w:r>
      <w:r w:rsidR="00C0566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declared that </w:t>
      </w:r>
      <w:r w:rsidR="00C0566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xidation of ethanol </w:t>
      </w:r>
      <w:r w:rsidR="00F56E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 </w:t>
      </w:r>
      <w:proofErr w:type="spellStart"/>
      <w:r w:rsidR="00F56E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F56E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alloy </w:t>
      </w:r>
      <w:r w:rsidR="00F56E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electrode </w:t>
      </w:r>
      <w:r w:rsidR="00D6415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a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typical electro</w:t>
      </w:r>
      <w:r w:rsidR="00E5695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catalytic response. 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anodic current increases around 350 mV and ethanol oxidation starts parallel to oxidation Ni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2+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Ni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3+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4B38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he anodic to </w:t>
      </w:r>
      <w:proofErr w:type="spellStart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charge </w:t>
      </w:r>
      <w:r w:rsidR="00EF3A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ratio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the presence of </w:t>
      </w:r>
      <w:r w:rsidR="004B38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0.5 M </w:t>
      </w:r>
      <w:r w:rsidR="00EB7A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 is</w:t>
      </w:r>
      <w:r w:rsidR="004B38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obtained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F3A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be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9</w:t>
      </w:r>
      <w:r w:rsidR="00BC52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/</w:t>
      </w:r>
      <w:r w:rsidR="00BC529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8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while 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it equal to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5</w:t>
      </w:r>
      <w:r w:rsidR="0057261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5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/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4</w:t>
      </w:r>
      <w:r w:rsidR="0057261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5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the absence of ethanol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4B38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harge 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values </w:t>
      </w:r>
      <w:r w:rsidR="00EB7A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are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4B385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calculated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through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integrating the 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background corrected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and </w:t>
      </w:r>
      <w:proofErr w:type="spellStart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peak</w:t>
      </w:r>
      <w:r w:rsidR="00CB333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2F56CD" w:rsidRPr="00890498" w:rsidRDefault="005C7C45" w:rsidP="00DC17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5A0EC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the positive sweep, t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he </w:t>
      </w:r>
      <w:r w:rsidR="005A0EC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measured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current </w:t>
      </w:r>
      <w:r w:rsidR="00DC173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proportional to the bulk concentration of ethanol</w:t>
      </w:r>
      <w:r w:rsidR="00593C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Elevation of ethanol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concentration caused an almost proportional linear </w:t>
      </w:r>
      <w:r w:rsidR="00593C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promotion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the anodic current 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up to 0.6 M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4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b). </w:t>
      </w:r>
      <w:r w:rsidR="00FF68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Based on these evidences,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catalytic electro-oxidation of ethanol on </w:t>
      </w:r>
      <w:proofErr w:type="spellStart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</w:t>
      </w:r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Cu</w:t>
      </w:r>
      <w:proofErr w:type="spellEnd"/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FF680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 confirmed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46145" cy="2326640"/>
            <wp:effectExtent l="0" t="0" r="1905" b="0"/>
            <wp:docPr id="4" name="Picture 4" descr="fig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ig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4.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the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 in the presence of (1) 0.1, (2) 0.2, (3) 0.3, (4) 0.4, (5) 0.5, (6) 0.6, (7) 0.7, (8) 0.8, (9) 0.9 and (10) 1 M of ethanol. Scan rate: 10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 (b) Dependency of the anodic peak current on the concentration of ethanol.</w:t>
      </w:r>
    </w:p>
    <w:p w:rsidR="00836249" w:rsidRPr="00890498" w:rsidRDefault="00836249" w:rsidP="0083624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C76A1" w:rsidRPr="002D6D8C" w:rsidRDefault="005C7C45" w:rsidP="00343D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rtl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1812D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attenuated </w:t>
      </w:r>
      <w:proofErr w:type="spellStart"/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current</w:t>
      </w:r>
      <w:r w:rsidR="00BB5CF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C10F9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that </w:t>
      </w:r>
      <w:r w:rsidR="00BB5CF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occurs in the reverse cycle of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oxidation process</w:t>
      </w:r>
      <w:r w:rsidR="00BB5CF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C7B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verifies involvement of ethanol in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rate determining step</w:t>
      </w:r>
      <w:r w:rsidR="003C7B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I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 </w:t>
      </w:r>
      <w:r w:rsidR="003C7B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also indicates that the process </w:t>
      </w:r>
      <w:r w:rsidR="0086717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incapable of reducing </w:t>
      </w:r>
      <w:r w:rsidR="003C7B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all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C7B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high valence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nickel species </w:t>
      </w:r>
      <w:r w:rsidR="007556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that </w:t>
      </w:r>
      <w:r w:rsidR="003C7B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have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formed in the oxidation cycle. 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Parallel to oxidation of the Ni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2+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species to Ni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3+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the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adsorbed 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molecules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oxidize</w:t>
      </w:r>
      <w:r w:rsidR="0043495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on the surface,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at higher </w:t>
      </w:r>
      <w:proofErr w:type="spellStart"/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over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potentials</w:t>
      </w:r>
      <w:proofErr w:type="spellEnd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731C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he products or intermediates of the reaction </w:t>
      </w:r>
      <w:r w:rsidR="00F2317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poison</w:t>
      </w:r>
      <w:r w:rsidR="00731C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</w:t>
      </w:r>
      <w:r w:rsidR="00731C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lastRenderedPageBreak/>
        <w:t>surface</w:t>
      </w:r>
      <w:r w:rsidR="00731C56" w:rsidRPr="002D6D8C">
        <w:rPr>
          <w:rFonts w:asciiTheme="majorBidi" w:hAnsiTheme="majorBidi" w:cstheme="majorBidi"/>
          <w:sz w:val="24"/>
          <w:szCs w:val="24"/>
          <w:highlight w:val="yellow"/>
        </w:rPr>
        <w:t xml:space="preserve"> and </w:t>
      </w:r>
      <w:r w:rsidR="00731C56" w:rsidRPr="002D6D8C">
        <w:rPr>
          <w:rFonts w:asciiTheme="majorBidi" w:hAnsiTheme="majorBidi" w:cstheme="majorBidi"/>
          <w:color w:val="000000"/>
          <w:sz w:val="24"/>
          <w:szCs w:val="24"/>
          <w:highlight w:val="yellow"/>
        </w:rPr>
        <w:t>reduces</w:t>
      </w:r>
      <w:r w:rsidR="00731C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number of available sites for ethanol adsorption</w:t>
      </w:r>
      <w:r w:rsidR="00F2317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Consequently,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overall rate of ethanol oxidation</w:t>
      </w:r>
      <w:r w:rsidR="00F2317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would decrease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31C5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and moreover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the anodic current </w:t>
      </w:r>
      <w:r w:rsidR="00FB102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approaches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 maximum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when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potential is swept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anodically</w:t>
      </w:r>
      <w:proofErr w:type="spellEnd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Electro-catalytic oxidation of ethanol also proceeds to the initial stage of the </w:t>
      </w:r>
      <w:proofErr w:type="spellStart"/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half cycle.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During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reverse half cycle, the oxidation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process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continues and its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associated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current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tends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 maximum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since some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active sites for adsorption of ethanol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regenerate due to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removal of </w:t>
      </w:r>
      <w:r w:rsidR="002C5FF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adsorbed intermediates and products. </w:t>
      </w:r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According to the signified anodic current, when the sweeping cycle reaches unfavorable </w:t>
      </w:r>
      <w:proofErr w:type="spellStart"/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over</w:t>
      </w:r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potentials</w:t>
      </w:r>
      <w:proofErr w:type="spellEnd"/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oxidation </w:t>
      </w:r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declines, </w:t>
      </w:r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the </w:t>
      </w:r>
      <w:proofErr w:type="spellStart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2F56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half cycle</w:t>
      </w:r>
      <w:r w:rsidR="0093073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BD4CF0" w:rsidRPr="00890498" w:rsidRDefault="00A9308D" w:rsidP="00343D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    </w:t>
      </w:r>
      <w:r w:rsidR="006444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Cyclic </w:t>
      </w:r>
      <w:proofErr w:type="spellStart"/>
      <w:r w:rsidR="006444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voltammograms</w:t>
      </w:r>
      <w:proofErr w:type="spellEnd"/>
      <w:r w:rsidR="006444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proofErr w:type="spellStart"/>
      <w:r w:rsidR="006444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6444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corresponding to</w:t>
      </w:r>
      <w:r w:rsidR="002A50C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various 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potential </w:t>
      </w:r>
      <w:r w:rsidR="002A50C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 rates (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from </w:t>
      </w:r>
      <w:r w:rsidR="002A50C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mV s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 xml:space="preserve">-1 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r w:rsidR="002A50C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350 mV s</w:t>
      </w:r>
      <w:r w:rsidR="002A50C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2A50C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) 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the presence of 0.</w:t>
      </w:r>
      <w:r w:rsidR="0000633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5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 ethanol and 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scan rate 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proportionality of 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peak currents are 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presented 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</w:t>
      </w:r>
      <w:r w:rsidR="00F50D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5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</w:t>
      </w:r>
      <w:r w:rsidR="00335F2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5</w:t>
      </w:r>
      <w:r w:rsidR="00AA779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respectively.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BD0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principal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C7C4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anodic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peak </w:t>
      </w:r>
      <w:r w:rsidR="00BD0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appear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BD0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at</w:t>
      </w:r>
      <w:r w:rsidR="001204D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0.5 V is </w:t>
      </w:r>
      <w:r w:rsidR="00BD0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 result of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ethanol oxidation on </w:t>
      </w:r>
      <w:r w:rsidR="00BD0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Ni sites. The anodic peak currents </w:t>
      </w:r>
      <w:r w:rsidR="00A22A6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vs.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square root of scan rate </w:t>
      </w:r>
      <w:r w:rsidR="00A22A6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values provide a linear relationship, what remarks that overall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oxidation of ethanol </w:t>
      </w:r>
      <w:r w:rsidR="001204D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 </w:t>
      </w:r>
      <w:proofErr w:type="spellStart"/>
      <w:r w:rsidR="001204D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</w:t>
      </w:r>
      <w:r w:rsidR="00A22A6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controlled by diffusion of ethanol from </w:t>
      </w:r>
      <w:r w:rsidR="00A22A6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solution to the redox sites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22A6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accessible on the electrode’s surface 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5b)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Though</w:t>
      </w:r>
      <w:r w:rsidR="00343DD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</w:t>
      </w:r>
      <w:proofErr w:type="spellStart"/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cathodic</w:t>
      </w:r>
      <w:proofErr w:type="spellEnd"/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peak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Ni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3+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reduction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negligible </w:t>
      </w:r>
      <w:r w:rsidR="001204D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low scan rates, 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it </w:t>
      </w:r>
      <w:r w:rsidR="0097138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appears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during application of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increas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ed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055C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rate</w:t>
      </w:r>
      <w:r w:rsidR="005020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Th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27AC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observation implies that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</w:t>
      </w:r>
      <w:r w:rsidR="00E5695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oxidation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 nickel species is much faster than catalytic oxidation of ethanol</w:t>
      </w:r>
      <w:r w:rsidR="00B27AC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at higher potential scan rates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B27AC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Therefore,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oxidation of ethanol on </w:t>
      </w:r>
      <w:r w:rsidR="00D914D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nickel surface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27AC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be inspected as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 slo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 process.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4445" cy="2954655"/>
            <wp:effectExtent l="0" t="0" r="0" b="0"/>
            <wp:docPr id="5" name="Picture 5" descr="fig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ig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445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5.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Typical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the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in the presence of 0.5 M ethanol at various scan rates of 2, 5, 10, 20, 30, 40, 50, 75, 100, 200 and 350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. (b) 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lastRenderedPageBreak/>
        <w:t>Dependence of anodic peak current at 530 mV on the square roots of scan rate. (c) Dependence of anodic peak current at 370 mV on scan rate.</w:t>
      </w:r>
    </w:p>
    <w:p w:rsidR="00836249" w:rsidRPr="00890498" w:rsidRDefault="00836249" w:rsidP="008362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549C" w:rsidRPr="00890498" w:rsidRDefault="00A9308D" w:rsidP="008C68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7D040D" w:rsidRPr="007D0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4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 higher scan rates, t</w:t>
      </w:r>
      <w:r w:rsidR="00B14A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he </w:t>
      </w:r>
      <w:r w:rsidR="007D04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peak specific to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oxidation 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of Ni(OH)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>2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</w:t>
      </w:r>
      <w:proofErr w:type="spellStart"/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NiOOH</w:t>
      </w:r>
      <w:proofErr w:type="spellEnd"/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D04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rises 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at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potential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D04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that are considerably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more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negative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than th</w:t>
      </w:r>
      <w:r w:rsidR="007D04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 potential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D04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oxidation </w:t>
      </w:r>
      <w:r w:rsidR="00B14A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</w:t>
      </w:r>
      <w:r w:rsidR="00B14A73" w:rsidRPr="002D6D8C">
        <w:rPr>
          <w:rFonts w:ascii="Times New Roman" w:hAnsi="Times New Roman" w:cs="Times New Roman"/>
          <w:color w:val="000000"/>
          <w:position w:val="-4"/>
          <w:sz w:val="24"/>
          <w:szCs w:val="24"/>
          <w:highlight w:val="yellow"/>
        </w:rPr>
        <w:object w:dxaOrig="200" w:dyaOrig="200">
          <v:shape id="_x0000_i1029" type="#_x0000_t75" style="width:9.65pt;height:9.65pt" o:ole="">
            <v:imagedata r:id="rId22" o:title=""/>
          </v:shape>
          <o:OLEObject Type="Embed" ProgID="Equation.3" ShapeID="_x0000_i1029" DrawAspect="Content" ObjectID="_1568167404" r:id="rId23"/>
        </w:objec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370 mV</w:t>
      </w:r>
      <w:r w:rsidR="00B14A7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)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This peak is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insignificant </w:t>
      </w:r>
      <w:r w:rsidR="001204D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low scan rate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806D9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0B4AA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but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enhances </w:t>
      </w:r>
      <w:r w:rsidR="001204D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</w:t>
      </w:r>
      <w:r w:rsidR="000B4AA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highe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</w:t>
      </w:r>
      <w:r w:rsidR="000B4AA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scan rate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504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values</w:t>
      </w:r>
      <w:r w:rsidR="0093796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F50D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5c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illustrates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D66A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 linear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dependency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the 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current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relating to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thi</w:t>
      </w:r>
      <w:r w:rsidR="003D66A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 peak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 the sweeping </w:t>
      </w:r>
      <w:r w:rsidR="003D66A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 rate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3D66A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which </w:t>
      </w:r>
      <w:r w:rsidR="001D60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proposes presence of 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surface-confined </w:t>
      </w:r>
      <w:proofErr w:type="spellStart"/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electroactive</w:t>
      </w:r>
      <w:proofErr w:type="spellEnd"/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species.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With respect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the high current density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observed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presence of ethanol and also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appearance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two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oxidation peak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for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Ni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2+</w:t>
      </w:r>
      <w:r w:rsidR="00AA2FC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ethanol</w:t>
      </w:r>
      <w:r w:rsidR="00583FE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one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part of the anodic current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be attributed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r w:rsidR="00B5047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oxidation of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by </w:t>
      </w:r>
      <w:proofErr w:type="spellStart"/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NiOOH</w:t>
      </w:r>
      <w:proofErr w:type="spellEnd"/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since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</w:t>
      </w:r>
      <w:proofErr w:type="spellStart"/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NiOOH</w:t>
      </w:r>
      <w:proofErr w:type="spellEnd"/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reduction peak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disappears during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negative sweep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The </w:t>
      </w:r>
      <w:r w:rsidR="00A52B5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other part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be assigned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direct electro-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oxidation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ethanol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on the surface of </w:t>
      </w:r>
      <w:r w:rsidR="00EF3B9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1E549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oxide layer.</w:t>
      </w:r>
    </w:p>
    <w:p w:rsidR="001E549C" w:rsidRPr="00890498" w:rsidRDefault="001E549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C12E34">
        <w:rPr>
          <w:rFonts w:ascii="Times New Roman" w:hAnsi="Times New Roman" w:cs="Times New Roman"/>
          <w:color w:val="000000"/>
          <w:sz w:val="24"/>
          <w:szCs w:val="24"/>
        </w:rPr>
        <w:t xml:space="preserve">following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redox transition of </w:t>
      </w:r>
      <w:r w:rsidR="00C12E34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nickel s</w:t>
      </w:r>
      <w:r w:rsidR="00CE41D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pecies </w:t>
      </w:r>
      <w:r w:rsidR="00C12E34">
        <w:rPr>
          <w:rFonts w:ascii="Times New Roman" w:hAnsi="Times New Roman" w:cs="Times New Roman"/>
          <w:color w:val="000000"/>
          <w:sz w:val="24"/>
          <w:szCs w:val="24"/>
        </w:rPr>
        <w:t>is expected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2759C" w:rsidRPr="00890498" w:rsidRDefault="0000633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1860" w:dyaOrig="300">
          <v:shape id="_x0000_i1030" type="#_x0000_t75" style="width:92.95pt;height:15.05pt" o:ole="">
            <v:imagedata r:id="rId24" o:title=""/>
          </v:shape>
          <o:OLEObject Type="Embed" ProgID="Equation.DSMT4" ShapeID="_x0000_i1030" DrawAspect="Content" ObjectID="_1568167405" r:id="rId25"/>
        </w:objec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E549C" w:rsidRPr="00890498" w:rsidRDefault="00C12E34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while </w:t>
      </w:r>
      <w:r w:rsidR="0062759C" w:rsidRPr="00890498">
        <w:rPr>
          <w:rFonts w:ascii="Times New Roman" w:hAnsi="Times New Roman" w:cs="Times New Roman"/>
          <w:color w:val="000000"/>
          <w:sz w:val="24"/>
          <w:szCs w:val="24"/>
        </w:rPr>
        <w:t>ethanol oxidize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6275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on 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alloy 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electrode </w:t>
      </w:r>
      <w:r>
        <w:rPr>
          <w:rFonts w:ascii="Times New Roman" w:hAnsi="Times New Roman" w:cs="Times New Roman"/>
          <w:color w:val="000000"/>
          <w:sz w:val="24"/>
          <w:szCs w:val="24"/>
        </w:rPr>
        <w:t>through</w:t>
      </w:r>
      <w:r w:rsidR="006275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following reaction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758B" w:rsidRPr="00890498" w:rsidRDefault="0000633C" w:rsidP="001949D9">
      <w:pPr>
        <w:tabs>
          <w:tab w:val="center" w:pos="46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379" w:dyaOrig="320">
          <v:shape id="_x0000_i1031" type="#_x0000_t75" style="width:172.5pt;height:16.65pt" o:ole="">
            <v:imagedata r:id="rId26" o:title=""/>
          </v:shape>
          <o:OLEObject Type="Embed" ProgID="Equation.DSMT4" ShapeID="_x0000_i1031" DrawAspect="Content" ObjectID="_1568167406" r:id="rId27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A1CA7" w:rsidRPr="00890498" w:rsidRDefault="0000633C" w:rsidP="001949D9">
      <w:pPr>
        <w:tabs>
          <w:tab w:val="center" w:pos="46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500" w:dyaOrig="360">
          <v:shape id="_x0000_i1032" type="#_x0000_t75" style="width:175.7pt;height:18.25pt" o:ole="">
            <v:imagedata r:id="rId28" o:title=""/>
          </v:shape>
          <o:OLEObject Type="Embed" ProgID="Equation.DSMT4" ShapeID="_x0000_i1032" DrawAspect="Content" ObjectID="_1568167407" r:id="rId29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E549C" w:rsidRPr="00890498" w:rsidRDefault="00C12E34" w:rsidP="00B504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5A1CA7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20" w:dyaOrig="300">
          <v:shape id="_x0000_i1033" type="#_x0000_t75" style="width:11.3pt;height:15.05pt" o:ole="">
            <v:imagedata r:id="rId30" o:title=""/>
          </v:shape>
          <o:OLEObject Type="Embed" ProgID="Equation.3" ShapeID="_x0000_i1033" DrawAspect="Content" ObjectID="_1568167408" r:id="rId31"/>
        </w:objec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sites </w:t>
      </w:r>
      <w:r>
        <w:rPr>
          <w:rFonts w:ascii="Times New Roman" w:hAnsi="Times New Roman" w:cs="Times New Roman"/>
          <w:color w:val="000000"/>
          <w:sz w:val="24"/>
          <w:szCs w:val="24"/>
        </w:rPr>
        <w:t>can be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regenerated by the power source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or via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direct electro-oxidation 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on Ni</w:t>
      </w:r>
      <w:r w:rsidR="000C0D3B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20" w:dyaOrig="300">
          <v:shape id="_x0000_i1034" type="#_x0000_t75" style="width:11.3pt;height:15.05pt" o:ole="">
            <v:imagedata r:id="rId32" o:title=""/>
          </v:shape>
          <o:OLEObject Type="Embed" ProgID="Equation.3" ShapeID="_x0000_i1034" DrawAspect="Content" ObjectID="_1568167409" r:id="rId33"/>
        </w:objec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oxide surface</w: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C0D3B" w:rsidRPr="00890498" w:rsidRDefault="0000633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660" w:dyaOrig="320">
          <v:shape id="_x0000_i1035" type="#_x0000_t75" style="width:183.2pt;height:16.65pt" o:ole="">
            <v:imagedata r:id="rId34" o:title=""/>
          </v:shape>
          <o:OLEObject Type="Embed" ProgID="Equation.DSMT4" ShapeID="_x0000_i1035" DrawAspect="Content" ObjectID="_1568167410" r:id="rId35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C0D3B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C0D3B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A1CA7" w:rsidRPr="00890498" w:rsidRDefault="0000633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780" w:dyaOrig="360">
          <v:shape id="_x0000_i1036" type="#_x0000_t75" style="width:189.15pt;height:18.25pt" o:ole="">
            <v:imagedata r:id="rId36" o:title=""/>
          </v:shape>
          <o:OLEObject Type="Embed" ProgID="Equation.DSMT4" ShapeID="_x0000_i1036" DrawAspect="Content" ObjectID="_1568167411" r:id="rId37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C76A1" w:rsidRPr="00890498" w:rsidRDefault="007279C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0633C" w:rsidRPr="0089049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142C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Eqs</w:t>
      </w:r>
      <w:proofErr w:type="spellEnd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. 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) and 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), Ni</w:t>
      </w:r>
      <w:r w:rsidR="009B3658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20" w:dyaOrig="300">
          <v:shape id="_x0000_i1037" type="#_x0000_t75" style="width:11.3pt;height:15.05pt" o:ole="">
            <v:imagedata r:id="rId38" o:title=""/>
          </v:shape>
          <o:OLEObject Type="Embed" ProgID="Equation.3" ShapeID="_x0000_i1037" DrawAspect="Content" ObjectID="_1568167412" r:id="rId39"/>
        </w:objec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188C">
        <w:rPr>
          <w:rFonts w:ascii="Times New Roman" w:hAnsi="Times New Roman" w:cs="Times New Roman"/>
          <w:color w:val="000000"/>
          <w:sz w:val="24"/>
          <w:szCs w:val="24"/>
        </w:rPr>
        <w:t>provides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active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site</w:t>
      </w:r>
      <w:r w:rsidR="00F22A6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direct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oxidation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>Eqs</w:t>
      </w:r>
      <w:proofErr w:type="spellEnd"/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(2), (5) and (6)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refer</w:t>
      </w:r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two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peak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ethanol</w:t>
      </w:r>
      <w:r w:rsidR="0085095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oxidation</w:t>
      </w:r>
      <w:r w:rsidR="00FD6C76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7E12" w:rsidRPr="00890498" w:rsidRDefault="007A0CFB" w:rsidP="00B72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F50D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3496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6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 </w:t>
      </w:r>
      <w:r w:rsidR="003E500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displays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E500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proofErr w:type="spellStart"/>
      <w:r w:rsidR="00C7449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choronoamperograms</w:t>
      </w:r>
      <w:proofErr w:type="spellEnd"/>
      <w:r w:rsidR="008509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E500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recorded 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</w:t>
      </w:r>
      <w:proofErr w:type="spellStart"/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Cu</w:t>
      </w:r>
      <w:proofErr w:type="spellEnd"/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</w:t>
      </w:r>
      <w:r w:rsidR="003E500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0.0 M to 0.8 M 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</w:t>
      </w:r>
      <w:r w:rsidR="00C7449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l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575A7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upon application of </w:t>
      </w:r>
      <w:r w:rsidR="004A19F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500</w:t>
      </w:r>
      <w:r w:rsidR="008509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mV</w:t>
      </w:r>
      <w:r w:rsidR="00575A7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potential step</w:t>
      </w:r>
      <w:r w:rsidR="00BD58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BD58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6b 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identifies a linear behavior</w:t>
      </w:r>
      <w:r w:rsidR="00B91886" w:rsidRPr="002D6D8C" w:rsidDel="00B91886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net current </w:t>
      </w:r>
      <w:r w:rsidR="007D49B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changes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i.e. </w:t>
      </w:r>
      <w:r w:rsidR="00BD58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after remov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 of</w:t>
      </w:r>
      <w:r w:rsidR="00BD58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background current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</w:t>
      </w:r>
      <w:r w:rsidR="00BD58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vs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B9188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D49BA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inverse square root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time. </w:t>
      </w:r>
      <w:r w:rsidR="00D50E7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Evidently, 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 diffusion controlled process is </w:t>
      </w:r>
      <w:r w:rsidR="00D50E71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dominant in this electrochemical process</w:t>
      </w:r>
      <w:r w:rsidR="006F106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135FE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If the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slope of this line </w:t>
      </w:r>
      <w:r w:rsidR="00135FE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be implemented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Cottrell equation</w:t>
      </w:r>
      <w:r w:rsidR="00135FE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33</w:t>
      </w:r>
      <w:r w:rsidR="00135FE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(Eq. 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</w:t>
      </w:r>
      <w:r w:rsidR="00135FE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7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)</w:t>
      </w:r>
      <w:r w:rsidR="00135FE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),</w:t>
      </w:r>
      <w:r w:rsidR="00135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7E12" w:rsidRPr="00890498" w:rsidRDefault="00C57AD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position w:val="-8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160" w:dyaOrig="320">
          <v:shape id="_x0000_i1038" type="#_x0000_t75" style="width:108pt;height:16.65pt" o:ole="">
            <v:imagedata r:id="rId40" o:title=""/>
          </v:shape>
          <o:OLEObject Type="Embed" ProgID="Equation.DSMT4" ShapeID="_x0000_i1038" DrawAspect="Content" ObjectID="_1568167413" r:id="rId41"/>
        </w:object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>(7)</w:t>
      </w:r>
    </w:p>
    <w:p w:rsidR="00B72057" w:rsidRDefault="00B72057" w:rsidP="005755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then</w:t>
      </w:r>
      <w:r w:rsidRPr="00135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diffusion coefficient of ethanol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will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be 1.26×10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-5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cm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7E12" w:rsidRPr="00890498" w:rsidRDefault="00135FEC" w:rsidP="005755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lastRenderedPageBreak/>
        <w:t xml:space="preserve">Further, the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horonoampe</w:t>
      </w:r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rometry</w:t>
      </w:r>
      <w:proofErr w:type="spellEnd"/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results </w:t>
      </w:r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can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help</w:t>
      </w:r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evaluating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corresponding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catalytic rate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constant of ethanol oxidation on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alloy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according to</w:t>
      </w:r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Eq. 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8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), which is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introduced </w:t>
      </w:r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by </w:t>
      </w:r>
      <w:proofErr w:type="spellStart"/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Pariente</w:t>
      </w:r>
      <w:proofErr w:type="spellEnd"/>
      <w:r w:rsidR="006A650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et al: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34</w:t>
      </w:r>
    </w:p>
    <w:p w:rsidR="00C57AD1" w:rsidRPr="00890498" w:rsidRDefault="00C57AD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position w:val="-8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3560" w:dyaOrig="760">
          <v:shape id="_x0000_i1039" type="#_x0000_t75" style="width:178.4pt;height:38.15pt" o:ole="">
            <v:imagedata r:id="rId42" o:title=""/>
          </v:shape>
          <o:OLEObject Type="Embed" ProgID="Equation.DSMT4" ShapeID="_x0000_i1039" DrawAspect="Content" ObjectID="_1568167414" r:id="rId43"/>
        </w:object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>(8)</w:t>
      </w:r>
    </w:p>
    <w:p w:rsidR="00EF7E12" w:rsidRPr="00890498" w:rsidRDefault="00EF7E12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where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I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>cat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</w:t>
      </w:r>
      <w:r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I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>L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stand for </w:t>
      </w:r>
      <w:proofErr w:type="spellStart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electrode 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currents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the presence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and absence of ethanol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respectively.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214EE" w:rsidRPr="002D6D8C">
        <w:rPr>
          <w:rFonts w:ascii="Times New Roman" w:hAnsi="Times New Roman" w:cs="Times New Roman"/>
          <w:color w:val="000000"/>
          <w:position w:val="-10"/>
          <w:sz w:val="24"/>
          <w:szCs w:val="24"/>
          <w:highlight w:val="yellow"/>
        </w:rPr>
        <w:object w:dxaOrig="800" w:dyaOrig="320">
          <v:shape id="_x0000_i1040" type="#_x0000_t75" style="width:39.75pt;height:16.65pt" o:ole="">
            <v:imagedata r:id="rId44" o:title=""/>
          </v:shape>
          <o:OLEObject Type="Embed" ProgID="Equation.DSMT4" ShapeID="_x0000_i1040" DrawAspect="Content" ObjectID="_1568167415" r:id="rId45"/>
        </w:objec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is the 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related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error function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in which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k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is the catalytic rate constant, </w:t>
      </w:r>
      <w:r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C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is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214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concentration of 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bulk </w:t>
      </w:r>
      <w:r w:rsidR="00A214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and </w:t>
      </w:r>
      <w:r w:rsidR="00A214EE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t</w:t>
      </w:r>
      <w:r w:rsidR="00A214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elapsed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time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When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24BE8" w:rsidRPr="002D6D8C">
        <w:rPr>
          <w:rFonts w:ascii="Times New Roman" w:hAnsi="Times New Roman" w:cs="Times New Roman"/>
          <w:color w:val="000000"/>
          <w:position w:val="-10"/>
          <w:sz w:val="24"/>
          <w:szCs w:val="24"/>
          <w:highlight w:val="yellow"/>
        </w:rPr>
        <w:object w:dxaOrig="560" w:dyaOrig="320">
          <v:shape id="_x0000_i1041" type="#_x0000_t75" style="width:27.95pt;height:15.6pt" o:ole="">
            <v:imagedata r:id="rId46" o:title=""/>
          </v:shape>
          <o:OLEObject Type="Embed" ProgID="Equation.3" ShapeID="_x0000_i1041" DrawAspect="Content" ObjectID="_1568167416" r:id="rId47"/>
        </w:objec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346509" w:rsidRPr="002D6D8C">
        <w:rPr>
          <w:rFonts w:ascii="Times New Roman" w:hAnsi="Times New Roman" w:cs="Times New Roman"/>
          <w:color w:val="000000"/>
          <w:position w:val="-14"/>
          <w:sz w:val="24"/>
          <w:szCs w:val="24"/>
          <w:highlight w:val="yellow"/>
        </w:rPr>
        <w:object w:dxaOrig="960" w:dyaOrig="400">
          <v:shape id="_x0000_i1042" type="#_x0000_t75" style="width:47.8pt;height:20.4pt" o:ole="">
            <v:imagedata r:id="rId48" o:title=""/>
          </v:shape>
          <o:OLEObject Type="Embed" ProgID="Equation.3" ShapeID="_x0000_i1042" DrawAspect="Content" ObjectID="_1568167417" r:id="rId49"/>
        </w:objec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equal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unity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approximately,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Eq. 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</w:t>
      </w:r>
      <w:r w:rsidR="00A864C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8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)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simplifies to</w:t>
      </w:r>
      <w:r w:rsidR="00324BE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:</w:t>
      </w:r>
    </w:p>
    <w:p w:rsidR="00C57AD1" w:rsidRPr="00890498" w:rsidRDefault="00C57AD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position w:val="-8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2680" w:dyaOrig="680">
          <v:shape id="_x0000_i1043" type="#_x0000_t75" style="width:134.35pt;height:34.4pt" o:ole="">
            <v:imagedata r:id="rId50" o:title=""/>
          </v:shape>
          <o:OLEObject Type="Embed" ProgID="Equation.DSMT4" ShapeID="_x0000_i1043" DrawAspect="Content" ObjectID="_1568167418" r:id="rId51"/>
        </w:object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>(9)</w:t>
      </w:r>
    </w:p>
    <w:p w:rsidR="00EF7E12" w:rsidRPr="00890498" w:rsidRDefault="00A864CC" w:rsidP="008C68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Based on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slope of </w:t>
      </w:r>
      <w:proofErr w:type="spellStart"/>
      <w:r w:rsidR="00EF7E12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I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>cat</w:t>
      </w:r>
      <w:proofErr w:type="spellEnd"/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/</w:t>
      </w:r>
      <w:r w:rsidR="00EF7E12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I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bscript"/>
        </w:rPr>
        <w:t>L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A214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vs.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F7E12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t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1/2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plot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obtained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mean 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catalytic rate constant</w:t>
      </w:r>
      <w:r w:rsidR="00EF7E12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 xml:space="preserve"> 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865.5 cm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mol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for 0.1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 to </w:t>
      </w:r>
      <w:r w:rsidR="00EF7E1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0.</w:t>
      </w:r>
      <w:r w:rsidR="009114D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8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M 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 (Fig</w:t>
      </w:r>
      <w:r w:rsidR="008C680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ure</w:t>
      </w:r>
      <w:r w:rsidR="00171D2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6c).</w:t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89375" cy="2538730"/>
            <wp:effectExtent l="0" t="0" r="0" b="0"/>
            <wp:docPr id="6" name="Picture 6" descr="fig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igure 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6.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Chronoamperograms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 with different concentrations of ethanol: (1) blank, (2) 0.1, (3) 0.2, (4) 0.3, (5) 0.4, (6) 0.5, (7) 0.6, (8) 0.7 and (9) 0.8 M at potential step of 500 mV. (b) Dependency of transient current on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-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1/2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. (c) Dependence of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catal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L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1/2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derived from the data of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chronoamperograms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5E84" w:rsidRPr="00890498" w:rsidRDefault="003B5E84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71DB" w:rsidRPr="00890498" w:rsidRDefault="00A97663" w:rsidP="00B21A0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Nyquist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diagrams of </w:t>
      </w:r>
      <w:proofErr w:type="spellStart"/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electrode recorded at the oxidation peak potential as 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dc-offset for different 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concentrations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are presented in Figure 7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 The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se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diagrams 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contain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two slightly depressed capacitive semicircles 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that are overlapped,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the high and low frequency 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regions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the spectrum for all </w:t>
      </w:r>
      <w:r w:rsidR="0089356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concentrations. The </w:t>
      </w:r>
      <w:r w:rsidR="00B21A0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high</w:t>
      </w:r>
      <w:r w:rsidR="00623A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frequency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depressed semicircle </w:t>
      </w:r>
      <w:r w:rsidR="00623AF9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lastRenderedPageBreak/>
        <w:t>can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correspond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to 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combination</w:t>
      </w:r>
      <w:r w:rsidR="0079641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resistance against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charge transfer and 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capacitance of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double layer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whereas t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he low frequency semicircle 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can be an outcome of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reaction intermediate 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adsorption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on the surface of</w:t>
      </w:r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CuNi</w:t>
      </w:r>
      <w:proofErr w:type="spellEnd"/>
      <w:r w:rsidR="006D4BF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electrode.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35,36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589655" cy="2750185"/>
            <wp:effectExtent l="0" t="0" r="0" b="0"/>
            <wp:docPr id="7" name="Picture 7" descr="fig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igure 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655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7.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Nyquist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diagrams of nickel-copper electrode in different concentration of ethanol at applied anodic potential of 500 mV. (Inset: high frequency part of the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Nyquist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diagram.)</w:t>
      </w:r>
    </w:p>
    <w:p w:rsidR="00D971DB" w:rsidRPr="00890498" w:rsidRDefault="00D971DB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422A" w:rsidRPr="00890498" w:rsidRDefault="007279C1" w:rsidP="00014E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Figure 8 shows t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he equivalent circuit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the presence of ethanol, which is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compatible with </w:t>
      </w:r>
      <w:proofErr w:type="spellStart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Nyquist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diagram. 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order t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 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achieve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 satisf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ying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impedance simulation of 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electrochemical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oxidation, the capacitor 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C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E334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the equivalent circuit should be replaced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with a constant phase element (CPE), 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Q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The most </w:t>
      </w:r>
      <w:r w:rsidR="00633F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credited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explanation for </w:t>
      </w:r>
      <w:r w:rsidR="00633F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observation of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CPE behavior and depressed semicircles on solid electrodes is microscopic roughness</w:t>
      </w:r>
      <w:r w:rsidR="00633F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Microscopic roughness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caus</w:t>
      </w:r>
      <w:r w:rsidR="00633F5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es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inhomogeneous distribution in the solution resistance 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and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double-layer capacitance.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37,38</w:t>
      </w:r>
      <w:r w:rsidR="00575544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electrically equivalent circuit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</w:t>
      </w:r>
      <w:r w:rsidR="00014E0C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igure 8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R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  <w:vertAlign w:val="subscript"/>
        </w:rPr>
        <w:t>s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Q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  <w:vertAlign w:val="subscript"/>
        </w:rPr>
        <w:t>dl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</w:t>
      </w:r>
      <w:proofErr w:type="spellStart"/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R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  <w:vertAlign w:val="subscript"/>
        </w:rPr>
        <w:t>ct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are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resistance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of the solution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a constant phase element 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related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capacitance of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double layer and charge transfer resistance</w:t>
      </w:r>
      <w:r w:rsidR="003537B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respectively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8E3C2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Also, </w:t>
      </w:r>
      <w:proofErr w:type="spellStart"/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Q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  <w:vertAlign w:val="subscript"/>
        </w:rPr>
        <w:t>ads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and </w:t>
      </w:r>
      <w:proofErr w:type="spellStart"/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  <w:t>R</w:t>
      </w:r>
      <w:r w:rsidR="00812CD5" w:rsidRPr="002D6D8C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  <w:vertAlign w:val="subscript"/>
        </w:rPr>
        <w:t>ads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E3C2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represent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electrical elements </w:t>
      </w:r>
      <w:r w:rsidR="008E3C2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corresponding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adsorption of reaction intermediates. In this circuit, </w:t>
      </w:r>
      <w:r w:rsidR="009571B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concept of resistance against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charge transfer </w:t>
      </w:r>
      <w:r w:rsidR="009571B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during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electrode reaction </w:t>
      </w:r>
      <w:r w:rsidR="009571B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physically simple and can be interpreted as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how fast charge transfer</w:t>
      </w:r>
      <w:r w:rsidR="009571B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during </w:t>
      </w:r>
      <w:r w:rsidR="009571B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electro-oxidation of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ethanol a</w:t>
      </w:r>
      <w:r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 the surface of the electrode.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572385" cy="1760855"/>
            <wp:effectExtent l="0" t="0" r="0" b="0"/>
            <wp:docPr id="8" name="Picture 8" descr="fig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igure 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8.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Equivalent circuit compatible with the experimental impedance data in Figures 4 and 5 for ethanol electro-oxidation on nickel-copper electrode.</w:t>
      </w:r>
    </w:p>
    <w:p w:rsidR="00E62EEA" w:rsidRPr="00890498" w:rsidRDefault="00E62EEA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2CD5" w:rsidRPr="00890498" w:rsidRDefault="007279C1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he experimental data were fitted to equivalent circuit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to corroborate the equivalent circuit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obtain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circuit elements. Table 1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reports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parameters of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equivalent circuit for impedance spectra of ethanol oxidation.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Diameter decrease with ethanol concentration can be seen for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two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semicircles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which means that ethanol 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electro-oxidation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enhances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using higher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ethanol concentration</w:t>
      </w:r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s. It also approves</w:t>
      </w:r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catalytic activity of </w:t>
      </w:r>
      <w:proofErr w:type="spellStart"/>
      <w:r w:rsidR="00D930E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812CD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alloy for ethanol oxidation.</w:t>
      </w:r>
    </w:p>
    <w:p w:rsidR="00C56B13" w:rsidRDefault="00C56B13" w:rsidP="00C56B13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 1.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Equivalent circuit parameters of electro-oxidation of ethanol on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04"/>
        <w:gridCol w:w="1150"/>
        <w:gridCol w:w="1168"/>
        <w:gridCol w:w="1166"/>
        <w:gridCol w:w="1070"/>
        <w:gridCol w:w="961"/>
        <w:gridCol w:w="970"/>
        <w:gridCol w:w="949"/>
      </w:tblGrid>
      <w:tr w:rsidR="00C56B13" w:rsidRPr="00C56B13" w:rsidTr="009E415B">
        <w:trPr>
          <w:trHeight w:val="400"/>
        </w:trPr>
        <w:tc>
          <w:tcPr>
            <w:tcW w:w="160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tabs>
                <w:tab w:val="left" w:pos="148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Concentration</w:t>
            </w:r>
          </w:p>
          <w:p w:rsidR="00C56B13" w:rsidRPr="00C56B13" w:rsidRDefault="00C56B13" w:rsidP="00C56B13">
            <w:pPr>
              <w:tabs>
                <w:tab w:val="left" w:pos="148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M</w:t>
            </w:r>
          </w:p>
        </w:tc>
        <w:tc>
          <w:tcPr>
            <w:tcW w:w="1150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Rs</w:t>
            </w:r>
            <w:proofErr w:type="spellEnd"/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/ </w:t>
            </w:r>
            <w:r w:rsidRPr="00C5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Ω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1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Ω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Q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1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/ F</w:t>
            </w:r>
          </w:p>
        </w:tc>
        <w:tc>
          <w:tcPr>
            <w:tcW w:w="10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1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2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Ω</w:t>
            </w:r>
          </w:p>
        </w:tc>
        <w:tc>
          <w:tcPr>
            <w:tcW w:w="970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Q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2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/ F</w:t>
            </w:r>
          </w:p>
        </w:tc>
        <w:tc>
          <w:tcPr>
            <w:tcW w:w="949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2</w:t>
            </w:r>
          </w:p>
        </w:tc>
      </w:tr>
      <w:tr w:rsidR="00C56B13" w:rsidRPr="00C56B13" w:rsidTr="009E415B">
        <w:trPr>
          <w:trHeight w:val="99"/>
        </w:trPr>
        <w:tc>
          <w:tcPr>
            <w:tcW w:w="1604" w:type="dxa"/>
            <w:shd w:val="clear" w:color="auto" w:fill="auto"/>
            <w:vAlign w:val="bottom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0.0018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4224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</w:tr>
      <w:tr w:rsidR="00C56B13" w:rsidRPr="00C56B13" w:rsidTr="009E415B">
        <w:trPr>
          <w:trHeight w:val="225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0.0024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1671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</w:tr>
      <w:tr w:rsidR="00C56B13" w:rsidRPr="00C56B13" w:rsidTr="009E415B">
        <w:trPr>
          <w:trHeight w:val="180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11.7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0.0026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</w:t>
            </w:r>
          </w:p>
        </w:tc>
      </w:tr>
      <w:tr w:rsidR="00C56B13" w:rsidRPr="00C56B13" w:rsidTr="009E415B">
        <w:trPr>
          <w:trHeight w:val="180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</w:t>
            </w:r>
          </w:p>
        </w:tc>
      </w:tr>
      <w:tr w:rsidR="00C56B13" w:rsidRPr="00C56B13" w:rsidTr="009E415B">
        <w:trPr>
          <w:trHeight w:val="80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0.025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0.58</w:t>
            </w:r>
          </w:p>
        </w:tc>
      </w:tr>
      <w:tr w:rsidR="00C56B13" w:rsidRPr="00C56B13" w:rsidTr="009E415B">
        <w:trPr>
          <w:trHeight w:val="180"/>
        </w:trPr>
        <w:tc>
          <w:tcPr>
            <w:tcW w:w="1604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tabs>
                <w:tab w:val="left" w:pos="148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150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</w:t>
            </w:r>
          </w:p>
        </w:tc>
        <w:tc>
          <w:tcPr>
            <w:tcW w:w="1168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961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970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949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</w:tr>
    </w:tbl>
    <w:p w:rsidR="00C74499" w:rsidRPr="00890498" w:rsidRDefault="00C74499" w:rsidP="00194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79C1" w:rsidRPr="00890498" w:rsidRDefault="007279C1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4180" w:rsidRPr="00890498" w:rsidRDefault="00F50E75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2E4180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Conclusions</w:t>
      </w:r>
    </w:p>
    <w:p w:rsidR="00F15AEE" w:rsidRPr="00890498" w:rsidRDefault="007279C1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this study, a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nickel oxide film was formed on </w:t>
      </w:r>
      <w:r w:rsidR="006270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surface of </w:t>
      </w:r>
      <w:r w:rsidR="00D26C6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nickel-copper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alloy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electrochemically,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in a cyclic voltammetry 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regime. The film </w:t>
      </w:r>
      <w:r w:rsidR="006270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was 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applied to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electro-oxidation of ethanol in al</w:t>
      </w:r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kaline 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solution</w:t>
      </w:r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The 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results confirmed that </w:t>
      </w:r>
      <w:proofErr w:type="spellStart"/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alloy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6270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is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ectro</w:t>
      </w:r>
      <w:r w:rsidR="006265EE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catalytic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ally 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activ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 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</w:t>
      </w:r>
      <w:r w:rsidR="00430523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ethanol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oxidation at around </w:t>
      </w:r>
      <w:r w:rsidR="00FF312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500 mV/</w:t>
      </w:r>
      <w:proofErr w:type="spellStart"/>
      <w:r w:rsidR="00FF312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Ag,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AgCl</w:t>
      </w:r>
      <w:proofErr w:type="spellEnd"/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8F42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To be more specific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response </w:t>
      </w:r>
      <w:r w:rsidR="008F42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obtained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lastRenderedPageBreak/>
        <w:t>for elec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tro-oxidation </w:t>
      </w:r>
      <w:r w:rsidR="008F42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ethanol </w:t>
      </w:r>
      <w:r w:rsidR="005D0575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on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electrode is </w:t>
      </w:r>
      <w:r w:rsidR="008F42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greater 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than the response </w:t>
      </w:r>
      <w:r w:rsidR="008F42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observed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for pure </w:t>
      </w:r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nickel</w:t>
      </w:r>
      <w:r w:rsidR="008F426B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noticeably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The anodic peak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currents 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for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ethanol oxidation </w:t>
      </w:r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on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alloy </w:t>
      </w:r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electrode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are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proportional to square root of </w:t>
      </w:r>
      <w:r w:rsidR="006270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the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scan rate</w:t>
      </w:r>
      <w:r w:rsidR="006270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s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linearly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proofErr w:type="spellStart"/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Choronoamperograms</w:t>
      </w:r>
      <w:proofErr w:type="spellEnd"/>
      <w:r w:rsidR="002A4738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the 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alloy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revealed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dominance of 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 diffusion controlled process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in presence of ethanol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In this respect, a </w:t>
      </w:r>
      <w:r w:rsidR="002E4180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diffusion coefficient 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equal to</w:t>
      </w:r>
      <w:r w:rsidR="000134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1.26×10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-5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cm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s</w:t>
      </w:r>
      <w:r w:rsidR="009A4A76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-1</w:t>
      </w:r>
      <w:r w:rsidR="00EB11CD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was calculated for ethanol. </w:t>
      </w:r>
      <w:r w:rsidR="006270F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Moreover, c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harge transfer resistance </w:t>
      </w:r>
      <w:r w:rsidR="007763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for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763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various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concentrations of ethanol </w:t>
      </w:r>
      <w:r w:rsidR="0077630F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was evaluated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and </w:t>
      </w:r>
      <w:r w:rsidR="0090472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highlighted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effective catalytic activity of </w:t>
      </w:r>
      <w:proofErr w:type="spellStart"/>
      <w:r w:rsidR="0090472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NiCu</w:t>
      </w:r>
      <w:proofErr w:type="spellEnd"/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alloy for oxidation </w:t>
      </w:r>
      <w:r w:rsidR="00904727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of ethanol, </w:t>
      </w:r>
      <w:r w:rsidR="00CA0682" w:rsidRPr="002D6D8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in alkaline solutions.</w:t>
      </w:r>
    </w:p>
    <w:p w:rsidR="00441966" w:rsidRPr="00890498" w:rsidRDefault="00441966" w:rsidP="001949D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81483" w:rsidRDefault="007279C1" w:rsidP="001949D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="00F05CB1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References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1. Y. Li, Z. Wang, X. Li, T. Yin, K.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D.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341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183-191.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2. Q. Zhang, F. Zhang, X. Ma,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Hou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336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1-7.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3. Z.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Xiong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B. Yan, K. Zhang, C. Wang, S. Li,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Du, C.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Zhai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Taiwan Inst. Chem. E.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75, 12-17.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4.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Xie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Zhang, G. Yao, S. A. Khan, X. Cui,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Lin,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Energy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193-199.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5. J. L. Tan, A. M. De Jesus, S. L. Chua,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Sanetuntikul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Shanmugam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B. J. V.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Tongol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Kim,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Appl.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Catal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A- Gen.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531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29-35.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6. C.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Peng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W. Yang, E. Wu, Y. Ma,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Zhang,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Alloy Compd.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698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250-258.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7. Y. H. Qin, Z.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Xiong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J. Ma, L. Yang, Z. Wu, W.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Feng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L. Wang, W. G. Wang, C. W. Wang,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1103-1112.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8. T. Li, G. Fu, J. Su, Y. Wang, Y. Lu,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Zou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X. Zhu, L.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D. Sun, Y. Tang,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231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13-19.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9. X. Hu, C. Lin, L. Wei, C. Hong, Y. Zhang, N.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Zhuang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187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560-566.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10. C. Du,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Z.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Zhuang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C. Cheng,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X. Li, W. Chen,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238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263-268.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11. P.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Kanninen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N. D.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Luong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L.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Sinh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Flórez-Montaño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Jiang, E. Pastor,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Seppälä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Kallio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315-326.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12. K. Ding, P. Wang, J. Zhao, Y. Li, Y. Chen, Y. Zhang, B. Wei, Y. Sun, J. Pan,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9766-9774.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13.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Forouzandeh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Chem.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Kinet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712-721.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14.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Guo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Hou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B. Li, E.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Duan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Mater.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Lett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200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90-93.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15.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Sharafi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Electrochem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Sci. Technol.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3, 50-56.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16. W. Shi, Q. Wang, F. Qin, J. Yu,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Jia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Zhang, Y. Zhao, G. Li,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232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332-338.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17. W. Shi,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J. Yu,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Jia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Dai, Y. Zhao,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G. Li,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220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486-492.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18. S. J. Zhang, Y.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L. S. Yuan, L. H. Zhao,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428-436.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19. N. A.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Barakat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Moustafa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Nassar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Abdelkareem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S. Mahmoud, A.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Almajid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K. A. Khalil,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2015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182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143-155.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20. K.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Kakaei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K.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Marzang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Colloid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Interf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Sci.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462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148-153.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21.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Pötzelberger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Mardare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W. Hassel,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Appl. Surf. Sci.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48-53.</w:t>
      </w:r>
    </w:p>
    <w:p w:rsidR="00DB04A1" w:rsidRPr="00DB04A1" w:rsidRDefault="00DB04A1" w:rsidP="00DB04A1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22. I. </w:t>
      </w:r>
      <w:proofErr w:type="spellStart"/>
      <w:r w:rsidRPr="00DB04A1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DB04A1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DB04A1">
        <w:rPr>
          <w:rFonts w:ascii="Times New Roman" w:hAnsi="Times New Roman" w:cs="Times New Roman"/>
          <w:color w:val="000000"/>
          <w:sz w:val="24"/>
          <w:szCs w:val="24"/>
        </w:rPr>
        <w:t>Forouzandeh</w:t>
      </w:r>
      <w:proofErr w:type="spellEnd"/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DB04A1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M.G. </w:t>
      </w:r>
      <w:proofErr w:type="spellStart"/>
      <w:r w:rsidRPr="00DB04A1">
        <w:rPr>
          <w:rFonts w:ascii="Times New Roman" w:hAnsi="Times New Roman" w:cs="Times New Roman"/>
          <w:color w:val="000000"/>
          <w:sz w:val="24"/>
          <w:szCs w:val="24"/>
        </w:rPr>
        <w:t>Mahjani</w:t>
      </w:r>
      <w:proofErr w:type="spellEnd"/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B04A1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Int. J. Hydrogen Energy</w:t>
      </w:r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4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2008</w:t>
      </w:r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B04A1">
        <w:rPr>
          <w:rFonts w:ascii="Times New Roman" w:hAnsi="Times New Roman" w:cs="Times New Roman"/>
          <w:i/>
          <w:iCs/>
          <w:color w:val="000000"/>
          <w:sz w:val="24"/>
          <w:szCs w:val="24"/>
        </w:rPr>
        <w:t>33</w:t>
      </w:r>
      <w:r w:rsidRPr="00DB04A1">
        <w:rPr>
          <w:rFonts w:ascii="Times New Roman" w:hAnsi="Times New Roman" w:cs="Times New Roman"/>
          <w:color w:val="000000"/>
          <w:sz w:val="24"/>
          <w:szCs w:val="24"/>
        </w:rPr>
        <w:t>, 4367-4376.</w:t>
      </w:r>
    </w:p>
    <w:p w:rsidR="00DB04A1" w:rsidRPr="00DB04A1" w:rsidRDefault="00DB04A1" w:rsidP="00DB04A1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04A1">
        <w:rPr>
          <w:rFonts w:ascii="Times New Roman" w:hAnsi="Times New Roman" w:cs="Times New Roman"/>
          <w:sz w:val="24"/>
          <w:szCs w:val="24"/>
        </w:rPr>
        <w:t xml:space="preserve">23. I. </w:t>
      </w:r>
      <w:proofErr w:type="spellStart"/>
      <w:r w:rsidRPr="00DB04A1">
        <w:rPr>
          <w:rFonts w:ascii="Times New Roman" w:hAnsi="Times New Roman" w:cs="Times New Roman"/>
          <w:sz w:val="24"/>
          <w:szCs w:val="24"/>
        </w:rPr>
        <w:t>Danaee</w:t>
      </w:r>
      <w:proofErr w:type="spellEnd"/>
      <w:r w:rsidRPr="00DB04A1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DB04A1">
        <w:rPr>
          <w:rFonts w:ascii="Times New Roman" w:hAnsi="Times New Roman" w:cs="Times New Roman"/>
          <w:sz w:val="24"/>
          <w:szCs w:val="24"/>
        </w:rPr>
        <w:t>Jafarian</w:t>
      </w:r>
      <w:proofErr w:type="spellEnd"/>
      <w:r w:rsidRPr="00DB04A1">
        <w:rPr>
          <w:rFonts w:ascii="Times New Roman" w:hAnsi="Times New Roman" w:cs="Times New Roman"/>
          <w:sz w:val="24"/>
          <w:szCs w:val="24"/>
        </w:rPr>
        <w:t xml:space="preserve">, F. </w:t>
      </w:r>
      <w:proofErr w:type="spellStart"/>
      <w:r w:rsidRPr="00DB04A1">
        <w:rPr>
          <w:rFonts w:ascii="Times New Roman" w:hAnsi="Times New Roman" w:cs="Times New Roman"/>
          <w:sz w:val="24"/>
          <w:szCs w:val="24"/>
        </w:rPr>
        <w:t>Forouzandeh</w:t>
      </w:r>
      <w:proofErr w:type="spellEnd"/>
      <w:r w:rsidRPr="00DB04A1">
        <w:rPr>
          <w:rFonts w:ascii="Times New Roman" w:hAnsi="Times New Roman" w:cs="Times New Roman"/>
          <w:sz w:val="24"/>
          <w:szCs w:val="24"/>
        </w:rPr>
        <w:t xml:space="preserve">, F. </w:t>
      </w:r>
      <w:proofErr w:type="spellStart"/>
      <w:r w:rsidRPr="00DB04A1">
        <w:rPr>
          <w:rFonts w:ascii="Times New Roman" w:hAnsi="Times New Roman" w:cs="Times New Roman"/>
          <w:sz w:val="24"/>
          <w:szCs w:val="24"/>
        </w:rPr>
        <w:t>Gobal</w:t>
      </w:r>
      <w:proofErr w:type="spellEnd"/>
      <w:r w:rsidRPr="00DB04A1">
        <w:rPr>
          <w:rFonts w:ascii="Times New Roman" w:hAnsi="Times New Roman" w:cs="Times New Roman"/>
          <w:sz w:val="24"/>
          <w:szCs w:val="24"/>
        </w:rPr>
        <w:t xml:space="preserve">, M.G. </w:t>
      </w:r>
      <w:proofErr w:type="spellStart"/>
      <w:r w:rsidRPr="00DB04A1">
        <w:rPr>
          <w:rFonts w:ascii="Times New Roman" w:hAnsi="Times New Roman" w:cs="Times New Roman"/>
          <w:sz w:val="24"/>
          <w:szCs w:val="24"/>
        </w:rPr>
        <w:t>Mahjani</w:t>
      </w:r>
      <w:proofErr w:type="spellEnd"/>
      <w:r w:rsidRPr="00DB04A1">
        <w:rPr>
          <w:rFonts w:ascii="Times New Roman" w:hAnsi="Times New Roman" w:cs="Times New Roman"/>
          <w:sz w:val="24"/>
          <w:szCs w:val="24"/>
        </w:rPr>
        <w:t xml:space="preserve">, </w:t>
      </w:r>
      <w:r w:rsidRPr="00DB04A1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Int. J. Hydrogen Energy</w:t>
      </w:r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4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2009</w:t>
      </w:r>
      <w:r w:rsidRPr="00DB04A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B04A1">
        <w:rPr>
          <w:rFonts w:ascii="Times New Roman" w:hAnsi="Times New Roman" w:cs="Times New Roman"/>
          <w:i/>
          <w:iCs/>
          <w:color w:val="000000"/>
          <w:sz w:val="24"/>
          <w:szCs w:val="24"/>
        </w:rPr>
        <w:t>34</w:t>
      </w:r>
      <w:r w:rsidRPr="00DB04A1">
        <w:rPr>
          <w:rFonts w:ascii="Times New Roman" w:hAnsi="Times New Roman" w:cs="Times New Roman"/>
          <w:color w:val="000000"/>
          <w:sz w:val="24"/>
          <w:szCs w:val="24"/>
        </w:rPr>
        <w:t>, 859-869.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24.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Rostami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G.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Mahjani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Electroanal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763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134-140.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25. S. J. Zhang, Y.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L. S. Yuan, L. H. Zhao,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428-436.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26. L. Wang, X. Lu, Y. Ye, L. Sun, Y. Song,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484-493.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27.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Tarrús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Montiel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E.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Vallés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E. Gómez,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39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6705-6713.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28. J. R. Macdonald,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Solid State Ionics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1984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147-149.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29.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Noori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12102-12111.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30. F. Hahn, B.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Beden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J. Croissant, C.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Lamy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1986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335.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>31. A. A. El-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Shafei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Electroanal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1999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471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89-95.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32. R. Barnard, C.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Randell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Appl.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Electrochem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1983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89-95.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33. A. J. Bard, L. R. Faulkner (Ed.): Electrochemical Methods: Fundamentals and Applications, Wiley, New York,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pp. 591.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34.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Pariente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E. Lorenzo,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Tobalina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D.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Abruna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Anal.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1995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67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3936-3944.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35.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Sharafi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G.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Mahjani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Chem. Res. Chinese U.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28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19-25.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36.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Mirzapoor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Shahnazi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Sangachin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Sci. China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55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1819-1824.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37.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Eskandari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RashvandAvei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Mater. Sci. Technol.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30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239-252.</w:t>
      </w:r>
    </w:p>
    <w:p w:rsidR="00C56B13" w:rsidRPr="00890498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38. A. R.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Hosein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Zadeh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Maddahy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Mater. Sci. Technol.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29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884-892.</w:t>
      </w:r>
    </w:p>
    <w:sectPr w:rsidR="00C56B13" w:rsidRPr="00890498" w:rsidSect="005946AB">
      <w:footerReference w:type="default" r:id="rId55"/>
      <w:type w:val="continuous"/>
      <w:pgSz w:w="11906" w:h="16838" w:code="9"/>
      <w:pgMar w:top="1584" w:right="1296" w:bottom="1584" w:left="1296" w:header="706" w:footer="850" w:gutter="0"/>
      <w:paperSrc w:first="15" w:other="15"/>
      <w:lnNumType w:countBy="1" w:restart="continuous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11" w:rsidRDefault="00C24D11" w:rsidP="002E16CE">
      <w:pPr>
        <w:spacing w:after="0" w:line="240" w:lineRule="auto"/>
      </w:pPr>
      <w:r>
        <w:separator/>
      </w:r>
    </w:p>
  </w:endnote>
  <w:endnote w:type="continuationSeparator" w:id="0">
    <w:p w:rsidR="00C24D11" w:rsidRDefault="00C24D11" w:rsidP="002E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FBC" w:rsidRDefault="00E25FB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04A1">
      <w:rPr>
        <w:noProof/>
      </w:rPr>
      <w:t>13</w:t>
    </w:r>
    <w:r>
      <w:rPr>
        <w:noProof/>
      </w:rPr>
      <w:fldChar w:fldCharType="end"/>
    </w:r>
  </w:p>
  <w:p w:rsidR="00E25FBC" w:rsidRDefault="00E25F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11" w:rsidRDefault="00C24D11" w:rsidP="002E16CE">
      <w:pPr>
        <w:spacing w:after="0" w:line="240" w:lineRule="auto"/>
      </w:pPr>
      <w:r>
        <w:separator/>
      </w:r>
    </w:p>
  </w:footnote>
  <w:footnote w:type="continuationSeparator" w:id="0">
    <w:p w:rsidR="00C24D11" w:rsidRDefault="00C24D11" w:rsidP="002E1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F0611"/>
    <w:multiLevelType w:val="hybridMultilevel"/>
    <w:tmpl w:val="4AFE76E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6753E18"/>
    <w:multiLevelType w:val="hybridMultilevel"/>
    <w:tmpl w:val="4AFE76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241CD7"/>
    <w:multiLevelType w:val="hybridMultilevel"/>
    <w:tmpl w:val="EA242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searchEdit">
    <w15:presenceInfo w15:providerId="None" w15:userId="ResearchEdi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80"/>
    <w:rsid w:val="00000391"/>
    <w:rsid w:val="0000633C"/>
    <w:rsid w:val="00012EC0"/>
    <w:rsid w:val="000134F2"/>
    <w:rsid w:val="00013A0F"/>
    <w:rsid w:val="00014E0C"/>
    <w:rsid w:val="00017AE9"/>
    <w:rsid w:val="000310CE"/>
    <w:rsid w:val="00037938"/>
    <w:rsid w:val="00045F53"/>
    <w:rsid w:val="0006409E"/>
    <w:rsid w:val="0006490F"/>
    <w:rsid w:val="00065A18"/>
    <w:rsid w:val="00076452"/>
    <w:rsid w:val="00095F9B"/>
    <w:rsid w:val="000B4AA3"/>
    <w:rsid w:val="000C0D3B"/>
    <w:rsid w:val="000C36AE"/>
    <w:rsid w:val="000C780B"/>
    <w:rsid w:val="000E7304"/>
    <w:rsid w:val="000F12EC"/>
    <w:rsid w:val="000F1C5F"/>
    <w:rsid w:val="000F2F0F"/>
    <w:rsid w:val="0010337F"/>
    <w:rsid w:val="00103A9D"/>
    <w:rsid w:val="001058C7"/>
    <w:rsid w:val="001204DD"/>
    <w:rsid w:val="001277A6"/>
    <w:rsid w:val="00132289"/>
    <w:rsid w:val="00135FEC"/>
    <w:rsid w:val="00142C4C"/>
    <w:rsid w:val="00144C67"/>
    <w:rsid w:val="00152360"/>
    <w:rsid w:val="00154EC4"/>
    <w:rsid w:val="00162135"/>
    <w:rsid w:val="00171D26"/>
    <w:rsid w:val="00176CF4"/>
    <w:rsid w:val="001812D4"/>
    <w:rsid w:val="00187796"/>
    <w:rsid w:val="00190B3A"/>
    <w:rsid w:val="001949D9"/>
    <w:rsid w:val="001978D5"/>
    <w:rsid w:val="001A4780"/>
    <w:rsid w:val="001A5635"/>
    <w:rsid w:val="001B08DA"/>
    <w:rsid w:val="001B58AE"/>
    <w:rsid w:val="001C64D8"/>
    <w:rsid w:val="001D57D2"/>
    <w:rsid w:val="001D60F9"/>
    <w:rsid w:val="001E12BD"/>
    <w:rsid w:val="001E549C"/>
    <w:rsid w:val="00203166"/>
    <w:rsid w:val="00203E2F"/>
    <w:rsid w:val="002074AC"/>
    <w:rsid w:val="00212E14"/>
    <w:rsid w:val="00213EFB"/>
    <w:rsid w:val="00225A74"/>
    <w:rsid w:val="00241C9C"/>
    <w:rsid w:val="002446EA"/>
    <w:rsid w:val="00246096"/>
    <w:rsid w:val="002568AA"/>
    <w:rsid w:val="00257753"/>
    <w:rsid w:val="002716C9"/>
    <w:rsid w:val="0027422D"/>
    <w:rsid w:val="0027614A"/>
    <w:rsid w:val="002A165F"/>
    <w:rsid w:val="002A32D9"/>
    <w:rsid w:val="002A3CB4"/>
    <w:rsid w:val="002A4738"/>
    <w:rsid w:val="002A50C4"/>
    <w:rsid w:val="002C4943"/>
    <w:rsid w:val="002C5FF8"/>
    <w:rsid w:val="002D6D8C"/>
    <w:rsid w:val="002E16CE"/>
    <w:rsid w:val="002E4180"/>
    <w:rsid w:val="002F07F7"/>
    <w:rsid w:val="002F56CD"/>
    <w:rsid w:val="00304589"/>
    <w:rsid w:val="00304E72"/>
    <w:rsid w:val="003103E7"/>
    <w:rsid w:val="00321B56"/>
    <w:rsid w:val="00324BE8"/>
    <w:rsid w:val="00325593"/>
    <w:rsid w:val="00330B1F"/>
    <w:rsid w:val="00334F14"/>
    <w:rsid w:val="00335F2D"/>
    <w:rsid w:val="003370EF"/>
    <w:rsid w:val="00343DDB"/>
    <w:rsid w:val="00346509"/>
    <w:rsid w:val="00350856"/>
    <w:rsid w:val="003530B0"/>
    <w:rsid w:val="003537BE"/>
    <w:rsid w:val="0035699B"/>
    <w:rsid w:val="00365361"/>
    <w:rsid w:val="00390AE9"/>
    <w:rsid w:val="00396B00"/>
    <w:rsid w:val="00397B29"/>
    <w:rsid w:val="003B0F31"/>
    <w:rsid w:val="003B0FFE"/>
    <w:rsid w:val="003B5E84"/>
    <w:rsid w:val="003C15BB"/>
    <w:rsid w:val="003C42F9"/>
    <w:rsid w:val="003C6A5D"/>
    <w:rsid w:val="003C6E75"/>
    <w:rsid w:val="003C7BCB"/>
    <w:rsid w:val="003D2074"/>
    <w:rsid w:val="003D598F"/>
    <w:rsid w:val="003D66AF"/>
    <w:rsid w:val="003E0122"/>
    <w:rsid w:val="003E500B"/>
    <w:rsid w:val="003F0562"/>
    <w:rsid w:val="004019B0"/>
    <w:rsid w:val="00406BD8"/>
    <w:rsid w:val="0041170E"/>
    <w:rsid w:val="00414EF6"/>
    <w:rsid w:val="00430523"/>
    <w:rsid w:val="00434952"/>
    <w:rsid w:val="00436B95"/>
    <w:rsid w:val="00441966"/>
    <w:rsid w:val="0044597A"/>
    <w:rsid w:val="004529E3"/>
    <w:rsid w:val="00453E23"/>
    <w:rsid w:val="004579DA"/>
    <w:rsid w:val="004611AC"/>
    <w:rsid w:val="00466677"/>
    <w:rsid w:val="0046709E"/>
    <w:rsid w:val="0047184B"/>
    <w:rsid w:val="0047472C"/>
    <w:rsid w:val="00487717"/>
    <w:rsid w:val="00492D04"/>
    <w:rsid w:val="004943AE"/>
    <w:rsid w:val="00497C41"/>
    <w:rsid w:val="004A19FC"/>
    <w:rsid w:val="004B385E"/>
    <w:rsid w:val="004B6602"/>
    <w:rsid w:val="004B6EF7"/>
    <w:rsid w:val="004B712B"/>
    <w:rsid w:val="004B7BB0"/>
    <w:rsid w:val="004C351C"/>
    <w:rsid w:val="004D11B9"/>
    <w:rsid w:val="004D660A"/>
    <w:rsid w:val="004E2194"/>
    <w:rsid w:val="004E2A97"/>
    <w:rsid w:val="004F5492"/>
    <w:rsid w:val="004F5A2C"/>
    <w:rsid w:val="00502026"/>
    <w:rsid w:val="0050343A"/>
    <w:rsid w:val="00505483"/>
    <w:rsid w:val="00505A7A"/>
    <w:rsid w:val="00507097"/>
    <w:rsid w:val="00513198"/>
    <w:rsid w:val="00513C74"/>
    <w:rsid w:val="005244D9"/>
    <w:rsid w:val="005252B0"/>
    <w:rsid w:val="0053049E"/>
    <w:rsid w:val="0053315E"/>
    <w:rsid w:val="00540AA5"/>
    <w:rsid w:val="00544BB1"/>
    <w:rsid w:val="0055412C"/>
    <w:rsid w:val="00567269"/>
    <w:rsid w:val="00567A20"/>
    <w:rsid w:val="00571130"/>
    <w:rsid w:val="0057261A"/>
    <w:rsid w:val="00572711"/>
    <w:rsid w:val="00575544"/>
    <w:rsid w:val="00575A7B"/>
    <w:rsid w:val="00583FE9"/>
    <w:rsid w:val="00584E62"/>
    <w:rsid w:val="00593C1B"/>
    <w:rsid w:val="005946AB"/>
    <w:rsid w:val="005965DB"/>
    <w:rsid w:val="005A0EC3"/>
    <w:rsid w:val="005A1CA7"/>
    <w:rsid w:val="005B78CE"/>
    <w:rsid w:val="005C188C"/>
    <w:rsid w:val="005C7C45"/>
    <w:rsid w:val="005D0575"/>
    <w:rsid w:val="005F3AC6"/>
    <w:rsid w:val="005F4660"/>
    <w:rsid w:val="005F6664"/>
    <w:rsid w:val="00602F89"/>
    <w:rsid w:val="006125D5"/>
    <w:rsid w:val="00614097"/>
    <w:rsid w:val="00620D18"/>
    <w:rsid w:val="00623AF9"/>
    <w:rsid w:val="00625DE9"/>
    <w:rsid w:val="006265EE"/>
    <w:rsid w:val="006270F2"/>
    <w:rsid w:val="0062759C"/>
    <w:rsid w:val="00633F55"/>
    <w:rsid w:val="006402EE"/>
    <w:rsid w:val="00644475"/>
    <w:rsid w:val="00644F0A"/>
    <w:rsid w:val="00671B36"/>
    <w:rsid w:val="00682E4E"/>
    <w:rsid w:val="006863A7"/>
    <w:rsid w:val="00687726"/>
    <w:rsid w:val="00690668"/>
    <w:rsid w:val="00690F6B"/>
    <w:rsid w:val="00695B94"/>
    <w:rsid w:val="006A2159"/>
    <w:rsid w:val="006A4D79"/>
    <w:rsid w:val="006A6504"/>
    <w:rsid w:val="006C6A97"/>
    <w:rsid w:val="006D4BF5"/>
    <w:rsid w:val="006F06DE"/>
    <w:rsid w:val="006F1066"/>
    <w:rsid w:val="006F11D6"/>
    <w:rsid w:val="006F1252"/>
    <w:rsid w:val="006F2BF2"/>
    <w:rsid w:val="006F38C9"/>
    <w:rsid w:val="006F6493"/>
    <w:rsid w:val="00702A71"/>
    <w:rsid w:val="00703982"/>
    <w:rsid w:val="007260CE"/>
    <w:rsid w:val="007279C1"/>
    <w:rsid w:val="007313EC"/>
    <w:rsid w:val="00731C56"/>
    <w:rsid w:val="007429ED"/>
    <w:rsid w:val="00744C6F"/>
    <w:rsid w:val="00755673"/>
    <w:rsid w:val="00755B07"/>
    <w:rsid w:val="00767AD9"/>
    <w:rsid w:val="00767EBE"/>
    <w:rsid w:val="0077014E"/>
    <w:rsid w:val="00773AD1"/>
    <w:rsid w:val="0077630F"/>
    <w:rsid w:val="0078340B"/>
    <w:rsid w:val="007872E5"/>
    <w:rsid w:val="00791E5F"/>
    <w:rsid w:val="00792D5B"/>
    <w:rsid w:val="0079308F"/>
    <w:rsid w:val="0079641B"/>
    <w:rsid w:val="007A0CFB"/>
    <w:rsid w:val="007B1138"/>
    <w:rsid w:val="007B17C8"/>
    <w:rsid w:val="007B7BC5"/>
    <w:rsid w:val="007C1041"/>
    <w:rsid w:val="007D040D"/>
    <w:rsid w:val="007D12B8"/>
    <w:rsid w:val="007D1E00"/>
    <w:rsid w:val="007D2088"/>
    <w:rsid w:val="007D49BA"/>
    <w:rsid w:val="007D6651"/>
    <w:rsid w:val="007E6E9E"/>
    <w:rsid w:val="007E747C"/>
    <w:rsid w:val="00801ED6"/>
    <w:rsid w:val="0080358E"/>
    <w:rsid w:val="00806B5C"/>
    <w:rsid w:val="00806D9A"/>
    <w:rsid w:val="00812CD5"/>
    <w:rsid w:val="008170E0"/>
    <w:rsid w:val="00826324"/>
    <w:rsid w:val="00831D10"/>
    <w:rsid w:val="00832037"/>
    <w:rsid w:val="00833CDE"/>
    <w:rsid w:val="00834961"/>
    <w:rsid w:val="00836249"/>
    <w:rsid w:val="0083732F"/>
    <w:rsid w:val="008416F9"/>
    <w:rsid w:val="008463A5"/>
    <w:rsid w:val="00850955"/>
    <w:rsid w:val="0086421C"/>
    <w:rsid w:val="0086717C"/>
    <w:rsid w:val="00872EB6"/>
    <w:rsid w:val="0088108C"/>
    <w:rsid w:val="00884FF3"/>
    <w:rsid w:val="00886599"/>
    <w:rsid w:val="008869F6"/>
    <w:rsid w:val="008879A2"/>
    <w:rsid w:val="00890498"/>
    <w:rsid w:val="00892F11"/>
    <w:rsid w:val="0089356E"/>
    <w:rsid w:val="0089372A"/>
    <w:rsid w:val="008A3A9C"/>
    <w:rsid w:val="008A5B16"/>
    <w:rsid w:val="008A69DC"/>
    <w:rsid w:val="008B439D"/>
    <w:rsid w:val="008B4671"/>
    <w:rsid w:val="008C070F"/>
    <w:rsid w:val="008C495B"/>
    <w:rsid w:val="008C6807"/>
    <w:rsid w:val="008D5846"/>
    <w:rsid w:val="008E20E9"/>
    <w:rsid w:val="008E334C"/>
    <w:rsid w:val="008E3C28"/>
    <w:rsid w:val="008F426B"/>
    <w:rsid w:val="008F4391"/>
    <w:rsid w:val="008F79C8"/>
    <w:rsid w:val="00904727"/>
    <w:rsid w:val="009054B1"/>
    <w:rsid w:val="00906844"/>
    <w:rsid w:val="009114D7"/>
    <w:rsid w:val="00911B16"/>
    <w:rsid w:val="00916A92"/>
    <w:rsid w:val="00917C4F"/>
    <w:rsid w:val="00927F82"/>
    <w:rsid w:val="00930733"/>
    <w:rsid w:val="00933C7A"/>
    <w:rsid w:val="00937962"/>
    <w:rsid w:val="009508A9"/>
    <w:rsid w:val="00956BC7"/>
    <w:rsid w:val="009571B8"/>
    <w:rsid w:val="009704C2"/>
    <w:rsid w:val="0097123B"/>
    <w:rsid w:val="00971381"/>
    <w:rsid w:val="009743CC"/>
    <w:rsid w:val="0097532A"/>
    <w:rsid w:val="00977626"/>
    <w:rsid w:val="00981C20"/>
    <w:rsid w:val="009904D7"/>
    <w:rsid w:val="00992DC1"/>
    <w:rsid w:val="009932AF"/>
    <w:rsid w:val="00993C44"/>
    <w:rsid w:val="009A4A76"/>
    <w:rsid w:val="009B3658"/>
    <w:rsid w:val="009D0867"/>
    <w:rsid w:val="009D22B5"/>
    <w:rsid w:val="009D36BB"/>
    <w:rsid w:val="009E2DB5"/>
    <w:rsid w:val="009E6074"/>
    <w:rsid w:val="00A031DD"/>
    <w:rsid w:val="00A1051A"/>
    <w:rsid w:val="00A174DF"/>
    <w:rsid w:val="00A2006B"/>
    <w:rsid w:val="00A214EE"/>
    <w:rsid w:val="00A22A63"/>
    <w:rsid w:val="00A267CB"/>
    <w:rsid w:val="00A35B35"/>
    <w:rsid w:val="00A3612F"/>
    <w:rsid w:val="00A41DA1"/>
    <w:rsid w:val="00A43228"/>
    <w:rsid w:val="00A52A1B"/>
    <w:rsid w:val="00A52B5F"/>
    <w:rsid w:val="00A64E45"/>
    <w:rsid w:val="00A67ADC"/>
    <w:rsid w:val="00A72541"/>
    <w:rsid w:val="00A81483"/>
    <w:rsid w:val="00A8270C"/>
    <w:rsid w:val="00A828AD"/>
    <w:rsid w:val="00A858FE"/>
    <w:rsid w:val="00A864CC"/>
    <w:rsid w:val="00A905C8"/>
    <w:rsid w:val="00A9308D"/>
    <w:rsid w:val="00A97663"/>
    <w:rsid w:val="00AA0C44"/>
    <w:rsid w:val="00AA2FC6"/>
    <w:rsid w:val="00AA6667"/>
    <w:rsid w:val="00AA7791"/>
    <w:rsid w:val="00AB20C5"/>
    <w:rsid w:val="00AC43BF"/>
    <w:rsid w:val="00AC653D"/>
    <w:rsid w:val="00AD2B1E"/>
    <w:rsid w:val="00AE1B66"/>
    <w:rsid w:val="00AE695F"/>
    <w:rsid w:val="00AE7616"/>
    <w:rsid w:val="00AF4BFD"/>
    <w:rsid w:val="00AF6726"/>
    <w:rsid w:val="00B01C3E"/>
    <w:rsid w:val="00B07D0D"/>
    <w:rsid w:val="00B110EE"/>
    <w:rsid w:val="00B14A73"/>
    <w:rsid w:val="00B15F2C"/>
    <w:rsid w:val="00B1617C"/>
    <w:rsid w:val="00B173DD"/>
    <w:rsid w:val="00B2187F"/>
    <w:rsid w:val="00B21A0D"/>
    <w:rsid w:val="00B23558"/>
    <w:rsid w:val="00B27ACA"/>
    <w:rsid w:val="00B37B06"/>
    <w:rsid w:val="00B40A76"/>
    <w:rsid w:val="00B41F2A"/>
    <w:rsid w:val="00B4353B"/>
    <w:rsid w:val="00B5047A"/>
    <w:rsid w:val="00B51EB6"/>
    <w:rsid w:val="00B5209F"/>
    <w:rsid w:val="00B52979"/>
    <w:rsid w:val="00B55534"/>
    <w:rsid w:val="00B65253"/>
    <w:rsid w:val="00B65881"/>
    <w:rsid w:val="00B72057"/>
    <w:rsid w:val="00B7457C"/>
    <w:rsid w:val="00B8060F"/>
    <w:rsid w:val="00B806F6"/>
    <w:rsid w:val="00B81238"/>
    <w:rsid w:val="00B872AA"/>
    <w:rsid w:val="00B87754"/>
    <w:rsid w:val="00B91886"/>
    <w:rsid w:val="00B92D4B"/>
    <w:rsid w:val="00B936DF"/>
    <w:rsid w:val="00BA42FE"/>
    <w:rsid w:val="00BB5CFC"/>
    <w:rsid w:val="00BC5292"/>
    <w:rsid w:val="00BC76A1"/>
    <w:rsid w:val="00BD07BE"/>
    <w:rsid w:val="00BD4CF0"/>
    <w:rsid w:val="00BD5838"/>
    <w:rsid w:val="00BD6CB8"/>
    <w:rsid w:val="00C0566F"/>
    <w:rsid w:val="00C07A57"/>
    <w:rsid w:val="00C07A58"/>
    <w:rsid w:val="00C10F9B"/>
    <w:rsid w:val="00C12E34"/>
    <w:rsid w:val="00C22FB9"/>
    <w:rsid w:val="00C24D11"/>
    <w:rsid w:val="00C323BE"/>
    <w:rsid w:val="00C33595"/>
    <w:rsid w:val="00C371B5"/>
    <w:rsid w:val="00C42192"/>
    <w:rsid w:val="00C44517"/>
    <w:rsid w:val="00C50F4F"/>
    <w:rsid w:val="00C51801"/>
    <w:rsid w:val="00C55047"/>
    <w:rsid w:val="00C56B13"/>
    <w:rsid w:val="00C57AD1"/>
    <w:rsid w:val="00C61899"/>
    <w:rsid w:val="00C72A42"/>
    <w:rsid w:val="00C736BD"/>
    <w:rsid w:val="00C74499"/>
    <w:rsid w:val="00C82399"/>
    <w:rsid w:val="00C848C2"/>
    <w:rsid w:val="00C870BD"/>
    <w:rsid w:val="00C97DBE"/>
    <w:rsid w:val="00CA0682"/>
    <w:rsid w:val="00CA152A"/>
    <w:rsid w:val="00CA1A8A"/>
    <w:rsid w:val="00CA5357"/>
    <w:rsid w:val="00CA758B"/>
    <w:rsid w:val="00CB3331"/>
    <w:rsid w:val="00CC3E06"/>
    <w:rsid w:val="00CD5693"/>
    <w:rsid w:val="00CD658D"/>
    <w:rsid w:val="00CE2845"/>
    <w:rsid w:val="00CE2C98"/>
    <w:rsid w:val="00CE41DF"/>
    <w:rsid w:val="00CE5FB1"/>
    <w:rsid w:val="00CF026E"/>
    <w:rsid w:val="00CF7624"/>
    <w:rsid w:val="00CF7E5E"/>
    <w:rsid w:val="00D0482D"/>
    <w:rsid w:val="00D126D3"/>
    <w:rsid w:val="00D20BD9"/>
    <w:rsid w:val="00D23CFF"/>
    <w:rsid w:val="00D26C6F"/>
    <w:rsid w:val="00D330A8"/>
    <w:rsid w:val="00D33B73"/>
    <w:rsid w:val="00D375DB"/>
    <w:rsid w:val="00D4182B"/>
    <w:rsid w:val="00D4552F"/>
    <w:rsid w:val="00D50AD6"/>
    <w:rsid w:val="00D50E71"/>
    <w:rsid w:val="00D557BB"/>
    <w:rsid w:val="00D64154"/>
    <w:rsid w:val="00D70777"/>
    <w:rsid w:val="00D914D9"/>
    <w:rsid w:val="00D930E6"/>
    <w:rsid w:val="00D971DB"/>
    <w:rsid w:val="00DA04C5"/>
    <w:rsid w:val="00DB04A1"/>
    <w:rsid w:val="00DC1739"/>
    <w:rsid w:val="00DC1C2F"/>
    <w:rsid w:val="00DC3AEE"/>
    <w:rsid w:val="00DC3E41"/>
    <w:rsid w:val="00DC728E"/>
    <w:rsid w:val="00DD19A4"/>
    <w:rsid w:val="00DD19D2"/>
    <w:rsid w:val="00DE4CD6"/>
    <w:rsid w:val="00DE614C"/>
    <w:rsid w:val="00DF217D"/>
    <w:rsid w:val="00DF4055"/>
    <w:rsid w:val="00DF4515"/>
    <w:rsid w:val="00E00266"/>
    <w:rsid w:val="00E00AFB"/>
    <w:rsid w:val="00E055CB"/>
    <w:rsid w:val="00E13DB6"/>
    <w:rsid w:val="00E25FBC"/>
    <w:rsid w:val="00E30E04"/>
    <w:rsid w:val="00E31078"/>
    <w:rsid w:val="00E35C21"/>
    <w:rsid w:val="00E5695C"/>
    <w:rsid w:val="00E62EEA"/>
    <w:rsid w:val="00E642DE"/>
    <w:rsid w:val="00E77DC5"/>
    <w:rsid w:val="00E81F86"/>
    <w:rsid w:val="00E84372"/>
    <w:rsid w:val="00E84B00"/>
    <w:rsid w:val="00E8663D"/>
    <w:rsid w:val="00E87DFA"/>
    <w:rsid w:val="00E92949"/>
    <w:rsid w:val="00E94928"/>
    <w:rsid w:val="00EA16DC"/>
    <w:rsid w:val="00EB11CD"/>
    <w:rsid w:val="00EB2D23"/>
    <w:rsid w:val="00EB3DB9"/>
    <w:rsid w:val="00EB7A96"/>
    <w:rsid w:val="00EB7B98"/>
    <w:rsid w:val="00EC1A3E"/>
    <w:rsid w:val="00EC1F5E"/>
    <w:rsid w:val="00EC422A"/>
    <w:rsid w:val="00ED09A6"/>
    <w:rsid w:val="00ED63DC"/>
    <w:rsid w:val="00EF305E"/>
    <w:rsid w:val="00EF3AD5"/>
    <w:rsid w:val="00EF3B96"/>
    <w:rsid w:val="00EF7E12"/>
    <w:rsid w:val="00F01FF8"/>
    <w:rsid w:val="00F05CA9"/>
    <w:rsid w:val="00F05CB1"/>
    <w:rsid w:val="00F12813"/>
    <w:rsid w:val="00F15AEE"/>
    <w:rsid w:val="00F22A6F"/>
    <w:rsid w:val="00F2317E"/>
    <w:rsid w:val="00F4001B"/>
    <w:rsid w:val="00F469A9"/>
    <w:rsid w:val="00F50DF9"/>
    <w:rsid w:val="00F50E75"/>
    <w:rsid w:val="00F56E73"/>
    <w:rsid w:val="00F627C2"/>
    <w:rsid w:val="00F65F53"/>
    <w:rsid w:val="00F707BE"/>
    <w:rsid w:val="00F76815"/>
    <w:rsid w:val="00F82644"/>
    <w:rsid w:val="00F84803"/>
    <w:rsid w:val="00F95166"/>
    <w:rsid w:val="00F95B91"/>
    <w:rsid w:val="00F97EA5"/>
    <w:rsid w:val="00FA0A97"/>
    <w:rsid w:val="00FB1029"/>
    <w:rsid w:val="00FB135E"/>
    <w:rsid w:val="00FC2F68"/>
    <w:rsid w:val="00FC3361"/>
    <w:rsid w:val="00FD095B"/>
    <w:rsid w:val="00FD6C76"/>
    <w:rsid w:val="00FE3621"/>
    <w:rsid w:val="00FE4445"/>
    <w:rsid w:val="00FF3128"/>
    <w:rsid w:val="00FF6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7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29E3"/>
    <w:pPr>
      <w:bidi/>
      <w:spacing w:before="240" w:after="60"/>
      <w:outlineLvl w:val="4"/>
    </w:pPr>
    <w:rPr>
      <w:rFonts w:ascii="B Zar" w:eastAsia="Times New Roman" w:hAnsi="B Zar"/>
      <w:b/>
      <w:bCs/>
      <w:i/>
      <w:iCs/>
      <w:sz w:val="28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4529E3"/>
    <w:rPr>
      <w:rFonts w:ascii="B Zar" w:eastAsia="Times New Roman" w:hAnsi="B Zar"/>
      <w:b/>
      <w:bCs/>
      <w:i/>
      <w:iCs/>
      <w:sz w:val="28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1A47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78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47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6CE"/>
  </w:style>
  <w:style w:type="paragraph" w:styleId="Footer">
    <w:name w:val="footer"/>
    <w:basedOn w:val="Normal"/>
    <w:link w:val="Foot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6CE"/>
  </w:style>
  <w:style w:type="character" w:styleId="LineNumber">
    <w:name w:val="line number"/>
    <w:basedOn w:val="DefaultParagraphFont"/>
    <w:uiPriority w:val="99"/>
    <w:semiHidden/>
    <w:unhideWhenUsed/>
    <w:rsid w:val="000C3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7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29E3"/>
    <w:pPr>
      <w:bidi/>
      <w:spacing w:before="240" w:after="60"/>
      <w:outlineLvl w:val="4"/>
    </w:pPr>
    <w:rPr>
      <w:rFonts w:ascii="B Zar" w:eastAsia="Times New Roman" w:hAnsi="B Zar"/>
      <w:b/>
      <w:bCs/>
      <w:i/>
      <w:iCs/>
      <w:sz w:val="28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4529E3"/>
    <w:rPr>
      <w:rFonts w:ascii="B Zar" w:eastAsia="Times New Roman" w:hAnsi="B Zar"/>
      <w:b/>
      <w:bCs/>
      <w:i/>
      <w:iCs/>
      <w:sz w:val="28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1A47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78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47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6CE"/>
  </w:style>
  <w:style w:type="paragraph" w:styleId="Footer">
    <w:name w:val="footer"/>
    <w:basedOn w:val="Normal"/>
    <w:link w:val="Foot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6CE"/>
  </w:style>
  <w:style w:type="character" w:styleId="LineNumber">
    <w:name w:val="line number"/>
    <w:basedOn w:val="DefaultParagraphFont"/>
    <w:uiPriority w:val="99"/>
    <w:semiHidden/>
    <w:unhideWhenUsed/>
    <w:rsid w:val="000C3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jpeg"/><Relationship Id="rId26" Type="http://schemas.openxmlformats.org/officeDocument/2006/relationships/image" Target="media/image12.wmf"/><Relationship Id="rId39" Type="http://schemas.openxmlformats.org/officeDocument/2006/relationships/oleObject" Target="embeddings/oleObject13.bin"/><Relationship Id="rId21" Type="http://schemas.openxmlformats.org/officeDocument/2006/relationships/image" Target="media/image9.jpe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wmf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jpeg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6.jpeg"/><Relationship Id="rId58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jpeg"/><Relationship Id="rId31" Type="http://schemas.openxmlformats.org/officeDocument/2006/relationships/oleObject" Target="embeddings/oleObject9.bin"/><Relationship Id="rId44" Type="http://schemas.openxmlformats.org/officeDocument/2006/relationships/image" Target="media/image21.wmf"/><Relationship Id="rId52" Type="http://schemas.openxmlformats.org/officeDocument/2006/relationships/image" Target="media/image25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59DD5-1CC2-4988-87B0-385C80EB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3607</Words>
  <Characters>20564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IRLP</dc:creator>
  <cp:lastModifiedBy>danaee</cp:lastModifiedBy>
  <cp:revision>3</cp:revision>
  <cp:lastPrinted>2017-01-14T19:10:00Z</cp:lastPrinted>
  <dcterms:created xsi:type="dcterms:W3CDTF">2017-09-29T08:38:00Z</dcterms:created>
  <dcterms:modified xsi:type="dcterms:W3CDTF">2017-09-29T12:16:00Z</dcterms:modified>
</cp:coreProperties>
</file>